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21102D">
        <w:tc>
          <w:tcPr>
            <w:tcW w:w="509" w:type="dxa"/>
          </w:tcPr>
          <w:p w:rsidR="0021102D" w:rsidRDefault="00A766D9">
            <w:pPr>
              <w:pStyle w:val="afffd"/>
              <w:framePr w:wrap="notBeside" w:vAnchor="page" w:hAnchor="page" w:x="1372" w:y="568"/>
              <w:tabs>
                <w:tab w:val="clear" w:pos="4153"/>
                <w:tab w:val="clear" w:pos="8306"/>
              </w:tabs>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21102D" w:rsidRDefault="00A766D9">
            <w:pPr>
              <w:pStyle w:val="afffd"/>
              <w:framePr w:wrap="notBeside" w:vAnchor="page" w:hAnchor="page" w:x="1372" w:y="568"/>
              <w:tabs>
                <w:tab w:val="clear" w:pos="4153"/>
                <w:tab w:val="clear" w:pos="8306"/>
              </w:tabs>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11.020</w:t>
            </w:r>
            <w:r>
              <w:rPr>
                <w:rFonts w:ascii="黑体" w:eastAsia="黑体" w:hAnsi="黑体"/>
                <w:sz w:val="21"/>
                <w:szCs w:val="21"/>
              </w:rPr>
              <w:fldChar w:fldCharType="end"/>
            </w:r>
            <w:bookmarkEnd w:id="0"/>
          </w:p>
        </w:tc>
      </w:tr>
      <w:tr w:rsidR="0021102D">
        <w:tc>
          <w:tcPr>
            <w:tcW w:w="509" w:type="dxa"/>
          </w:tcPr>
          <w:p w:rsidR="0021102D" w:rsidRDefault="00A766D9">
            <w:pPr>
              <w:pStyle w:val="afffd"/>
              <w:framePr w:wrap="notBeside" w:vAnchor="page" w:hAnchor="page" w:x="1372" w:y="568"/>
              <w:tabs>
                <w:tab w:val="clear" w:pos="4153"/>
                <w:tab w:val="clear" w:pos="8306"/>
              </w:tabs>
              <w:spacing w:before="40"/>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21102D" w:rsidRDefault="00A766D9">
            <w:pPr>
              <w:pStyle w:val="afffd"/>
              <w:framePr w:wrap="notBeside" w:vAnchor="page" w:hAnchor="page" w:x="1372" w:y="568"/>
              <w:tabs>
                <w:tab w:val="clear" w:pos="4153"/>
                <w:tab w:val="clear" w:pos="8306"/>
              </w:tabs>
              <w:spacing w:before="40"/>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C05</w:t>
            </w:r>
            <w:r>
              <w:rPr>
                <w:rFonts w:ascii="黑体" w:eastAsia="黑体" w:hAnsi="黑体"/>
                <w:sz w:val="21"/>
                <w:szCs w:val="21"/>
              </w:rPr>
              <w:fldChar w:fldCharType="end"/>
            </w:r>
            <w:bookmarkEnd w:id="1"/>
          </w:p>
        </w:tc>
      </w:tr>
    </w:tbl>
    <w:tbl>
      <w:tblPr>
        <w:tblStyle w:val="affff1"/>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21102D">
        <w:tc>
          <w:tcPr>
            <w:tcW w:w="6407" w:type="dxa"/>
          </w:tcPr>
          <w:p w:rsidR="0021102D" w:rsidRDefault="00A766D9">
            <w:pPr>
              <w:pStyle w:val="affff8"/>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32</w:t>
            </w:r>
            <w:r>
              <w:fldChar w:fldCharType="end"/>
            </w:r>
            <w:bookmarkEnd w:id="3"/>
          </w:p>
        </w:tc>
      </w:tr>
    </w:tbl>
    <w:p w:rsidR="0021102D" w:rsidRDefault="00A766D9">
      <w:pPr>
        <w:pStyle w:val="affff9"/>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江苏省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21102D" w:rsidRDefault="00A766D9">
      <w:pPr>
        <w:pStyle w:val="afffffffffb"/>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t>XX</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rsidR="0021102D" w:rsidRDefault="00A766D9">
      <w:pPr>
        <w:pStyle w:val="afffffffffc"/>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21102D" w:rsidRDefault="00A766D9">
      <w:pPr>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21102D" w:rsidRDefault="0021102D">
      <w:pPr>
        <w:pStyle w:val="affff9"/>
        <w:framePr w:w="9639" w:h="6976" w:hRule="exact" w:hSpace="0" w:vSpace="0" w:wrap="around" w:hAnchor="page" w:y="6408"/>
        <w:jc w:val="center"/>
        <w:rPr>
          <w:rFonts w:ascii="黑体" w:eastAsia="黑体" w:hAnsi="黑体"/>
          <w:b w:val="0"/>
          <w:bCs w:val="0"/>
          <w:w w:val="100"/>
        </w:rPr>
      </w:pPr>
    </w:p>
    <w:p w:rsidR="0021102D" w:rsidRDefault="00A766D9">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采供血过程风险管理</w:t>
      </w:r>
    </w:p>
    <w:p w:rsidR="0021102D" w:rsidRDefault="00A766D9">
      <w:pPr>
        <w:pStyle w:val="afffffffffd"/>
        <w:framePr w:h="6974" w:hRule="exact" w:wrap="around" w:x="1419" w:anchorLock="1"/>
      </w:pPr>
      <w:r>
        <w:t>第3部分：献血不良反应风险控制规范</w:t>
      </w:r>
      <w:r>
        <w:fldChar w:fldCharType="end"/>
      </w:r>
      <w:bookmarkEnd w:id="9"/>
    </w:p>
    <w:p w:rsidR="0021102D" w:rsidRDefault="0021102D">
      <w:pPr>
        <w:framePr w:w="9639" w:h="6974" w:hRule="exact" w:wrap="around" w:vAnchor="page" w:hAnchor="page" w:x="1419" w:y="6408" w:anchorLock="1"/>
        <w:ind w:left="-1418"/>
      </w:pPr>
    </w:p>
    <w:p w:rsidR="0021102D" w:rsidRDefault="00A766D9">
      <w:pPr>
        <w:pStyle w:val="afffffff1"/>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Risk management for the blood collection and supply process</w:t>
      </w:r>
    </w:p>
    <w:p w:rsidR="0021102D" w:rsidRDefault="00A766D9">
      <w:pPr>
        <w:pStyle w:val="afffffff1"/>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t>Part 3 :</w:t>
      </w:r>
      <w:r>
        <w:rPr>
          <w:rFonts w:ascii="黑体" w:eastAsia="黑体" w:hAnsi="黑体" w:hint="eastAsia"/>
          <w:szCs w:val="28"/>
        </w:rPr>
        <w:t>Risk control specifications for adverse reactions to blood donation</w:t>
      </w:r>
      <w:r>
        <w:rPr>
          <w:rFonts w:ascii="黑体" w:eastAsia="黑体" w:hAnsi="黑体"/>
          <w:szCs w:val="28"/>
        </w:rPr>
        <w:fldChar w:fldCharType="end"/>
      </w:r>
      <w:bookmarkEnd w:id="10"/>
    </w:p>
    <w:p w:rsidR="0021102D" w:rsidRDefault="0021102D">
      <w:pPr>
        <w:framePr w:w="9639" w:h="6974" w:hRule="exact" w:wrap="around" w:vAnchor="page" w:hAnchor="page" w:x="1419" w:y="6408" w:anchorLock="1"/>
        <w:spacing w:line="760" w:lineRule="exact"/>
        <w:ind w:left="-1418"/>
      </w:pPr>
    </w:p>
    <w:p w:rsidR="0021102D" w:rsidRDefault="0021102D">
      <w:pPr>
        <w:pStyle w:val="afffffff1"/>
        <w:framePr w:w="9639" w:h="6974" w:hRule="exact" w:wrap="around" w:vAnchor="page" w:hAnchor="page" w:x="1419" w:y="6408" w:anchorLock="1"/>
        <w:textAlignment w:val="bottom"/>
        <w:rPr>
          <w:rFonts w:eastAsia="黑体"/>
          <w:szCs w:val="28"/>
        </w:rPr>
      </w:pPr>
    </w:p>
    <w:p w:rsidR="0021102D" w:rsidRDefault="00A766D9">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5"/>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end"/>
      </w:r>
      <w:bookmarkEnd w:id="11"/>
    </w:p>
    <w:p w:rsidR="0021102D" w:rsidRDefault="00A766D9">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sidR="00317C87">
        <w:rPr>
          <w:sz w:val="21"/>
          <w:szCs w:val="28"/>
        </w:rPr>
        <w:t> </w:t>
      </w:r>
      <w:r w:rsidR="00317C87">
        <w:rPr>
          <w:sz w:val="21"/>
          <w:szCs w:val="28"/>
        </w:rPr>
        <w:t> </w:t>
      </w:r>
      <w:r w:rsidR="00317C87">
        <w:rPr>
          <w:sz w:val="21"/>
          <w:szCs w:val="28"/>
        </w:rPr>
        <w:t> </w:t>
      </w:r>
      <w:r w:rsidR="00317C87">
        <w:rPr>
          <w:sz w:val="21"/>
          <w:szCs w:val="28"/>
        </w:rPr>
        <w:t> </w:t>
      </w:r>
      <w:r w:rsidR="00317C87">
        <w:rPr>
          <w:sz w:val="21"/>
          <w:szCs w:val="28"/>
        </w:rPr>
        <w:t> </w:t>
      </w:r>
      <w:r>
        <w:rPr>
          <w:sz w:val="21"/>
          <w:szCs w:val="28"/>
        </w:rPr>
        <w:fldChar w:fldCharType="end"/>
      </w:r>
      <w:bookmarkEnd w:id="12"/>
    </w:p>
    <w:p w:rsidR="0021102D" w:rsidRDefault="00A766D9">
      <w:pPr>
        <w:pStyle w:val="afffffff1"/>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end"/>
      </w:r>
      <w:bookmarkEnd w:id="13"/>
    </w:p>
    <w:p w:rsidR="0021102D" w:rsidRDefault="00A766D9">
      <w:pPr>
        <w:pStyle w:val="afffffffff9"/>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21102D" w:rsidRDefault="00A766D9">
      <w:pPr>
        <w:pStyle w:val="afffffffffa"/>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rsidR="0021102D" w:rsidRDefault="00A766D9">
      <w:pPr>
        <w:pStyle w:val="affffffff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江苏省市场监督管理局</w:t>
      </w:r>
      <w:r>
        <w:rPr>
          <w:rFonts w:hAnsi="黑体"/>
          <w:w w:val="100"/>
          <w:sz w:val="28"/>
        </w:rPr>
        <w:fldChar w:fldCharType="end"/>
      </w:r>
      <w:bookmarkEnd w:id="20"/>
      <w:r>
        <w:rPr>
          <w:rFonts w:ascii="Times New Roman"/>
          <w:w w:val="100"/>
          <w:sz w:val="28"/>
        </w:rPr>
        <w:t>  </w:t>
      </w:r>
      <w:r>
        <w:rPr>
          <w:rStyle w:val="afffffffffff2"/>
          <w:rFonts w:hAnsi="黑体" w:hint="eastAsia"/>
          <w:position w:val="0"/>
        </w:rPr>
        <w:t>发</w:t>
      </w:r>
      <w:r>
        <w:rPr>
          <w:rStyle w:val="afffffffffff2"/>
          <w:rFonts w:hAnsi="黑体" w:hint="eastAsia"/>
          <w:spacing w:val="0"/>
          <w:position w:val="0"/>
        </w:rPr>
        <w:t>布</w:t>
      </w:r>
    </w:p>
    <w:p w:rsidR="0021102D" w:rsidRDefault="00A766D9">
      <w:pPr>
        <w:rPr>
          <w:rFonts w:ascii="宋体" w:hAnsi="宋体"/>
          <w:sz w:val="28"/>
          <w:szCs w:val="28"/>
        </w:rPr>
        <w:sectPr w:rsidR="0021102D">
          <w:headerReference w:type="even" r:id="rId11"/>
          <w:headerReference w:type="default" r:id="rId12"/>
          <w:footerReference w:type="even" r:id="rId13"/>
          <w:footerReference w:type="default" r:id="rId14"/>
          <w:headerReference w:type="first" r:id="rId15"/>
          <w:footerReference w:type="first" r:id="rId16"/>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21102D" w:rsidRDefault="00A766D9">
      <w:pPr>
        <w:pStyle w:val="affffff3"/>
        <w:spacing w:after="468"/>
      </w:pPr>
      <w:bookmarkStart w:id="21" w:name="BookMark1"/>
      <w:bookmarkStart w:id="22" w:name="_Toc147958244"/>
      <w:bookmarkStart w:id="23" w:name="_Toc11877"/>
      <w:r>
        <w:rPr>
          <w:rFonts w:hint="eastAsia"/>
          <w:spacing w:val="320"/>
        </w:rPr>
        <w:lastRenderedPageBreak/>
        <w:t>目</w:t>
      </w:r>
      <w:r>
        <w:rPr>
          <w:rFonts w:hint="eastAsia"/>
        </w:rPr>
        <w:t>次</w:t>
      </w:r>
    </w:p>
    <w:p w:rsidR="0021102D" w:rsidRDefault="00A766D9">
      <w:pPr>
        <w:pStyle w:val="10"/>
        <w:tabs>
          <w:tab w:val="right" w:leader="dot" w:pos="9344"/>
        </w:tabs>
        <w:rPr>
          <w:rFonts w:asciiTheme="minorHAnsi" w:eastAsiaTheme="minorEastAsia" w:hAnsiTheme="minorHAnsi" w:cstheme="minorBidi"/>
          <w:szCs w:val="22"/>
          <w14:ligatures w14:val="standardContextual"/>
        </w:rPr>
      </w:pPr>
      <w:r>
        <w:fldChar w:fldCharType="begin"/>
      </w:r>
      <w:r>
        <w:instrText xml:space="preserve"> TOC \o "1-1" \h </w:instrText>
      </w:r>
      <w:r>
        <w:fldChar w:fldCharType="separate"/>
      </w:r>
      <w:hyperlink w:anchor="_Toc149973342" w:history="1">
        <w:r>
          <w:rPr>
            <w:rStyle w:val="affff5"/>
            <w:rFonts w:ascii="Times New Roman"/>
          </w:rPr>
          <w:t>前言</w:t>
        </w:r>
        <w:r w:rsidR="00E54F71" w:rsidRPr="00E54F71">
          <w:rPr>
            <w:rStyle w:val="affff5"/>
            <w:rFonts w:ascii="Times New Roman"/>
          </w:rPr>
          <w:tab/>
        </w:r>
        <w:r>
          <w:tab/>
        </w:r>
        <w:r>
          <w:fldChar w:fldCharType="begin"/>
        </w:r>
        <w:r>
          <w:instrText xml:space="preserve"> PAGEREF _Toc149973342 \h </w:instrText>
        </w:r>
        <w:r>
          <w:fldChar w:fldCharType="separate"/>
        </w:r>
        <w:r w:rsidR="00327460">
          <w:rPr>
            <w:noProof/>
          </w:rPr>
          <w:t>II</w:t>
        </w:r>
        <w:r>
          <w:fldChar w:fldCharType="end"/>
        </w:r>
      </w:hyperlink>
    </w:p>
    <w:p w:rsidR="0021102D" w:rsidRDefault="00827ED2">
      <w:pPr>
        <w:pStyle w:val="10"/>
        <w:tabs>
          <w:tab w:val="right" w:leader="dot" w:pos="9344"/>
        </w:tabs>
        <w:rPr>
          <w:rFonts w:asciiTheme="minorHAnsi" w:eastAsiaTheme="minorEastAsia" w:hAnsiTheme="minorHAnsi" w:cstheme="minorBidi"/>
          <w:szCs w:val="22"/>
          <w14:ligatures w14:val="standardContextual"/>
        </w:rPr>
      </w:pPr>
      <w:hyperlink w:anchor="_Toc149973343" w:history="1">
        <w:r w:rsidR="00A766D9">
          <w:rPr>
            <w:rStyle w:val="affff5"/>
          </w:rPr>
          <w:t>引言</w:t>
        </w:r>
        <w:r w:rsidR="00E54F71" w:rsidRPr="00E54F71">
          <w:rPr>
            <w:rStyle w:val="affff5"/>
          </w:rPr>
          <w:tab/>
        </w:r>
        <w:r w:rsidR="00A766D9">
          <w:tab/>
        </w:r>
        <w:r w:rsidR="00A766D9">
          <w:fldChar w:fldCharType="begin"/>
        </w:r>
        <w:r w:rsidR="00A766D9">
          <w:instrText xml:space="preserve"> PAGEREF _Toc149973343 \h </w:instrText>
        </w:r>
        <w:r w:rsidR="00A766D9">
          <w:fldChar w:fldCharType="separate"/>
        </w:r>
        <w:r w:rsidR="00327460">
          <w:rPr>
            <w:noProof/>
          </w:rPr>
          <w:t>III</w:t>
        </w:r>
        <w:r w:rsidR="00A766D9">
          <w:fldChar w:fldCharType="end"/>
        </w:r>
      </w:hyperlink>
    </w:p>
    <w:p w:rsidR="0021102D" w:rsidRDefault="00827ED2">
      <w:pPr>
        <w:pStyle w:val="10"/>
        <w:tabs>
          <w:tab w:val="right" w:leader="dot" w:pos="9344"/>
        </w:tabs>
        <w:rPr>
          <w:rFonts w:asciiTheme="minorHAnsi" w:eastAsiaTheme="minorEastAsia" w:hAnsiTheme="minorHAnsi" w:cstheme="minorBidi"/>
          <w:szCs w:val="22"/>
          <w14:ligatures w14:val="standardContextual"/>
        </w:rPr>
      </w:pPr>
      <w:hyperlink w:anchor="_Toc149973344" w:history="1">
        <w:r w:rsidR="00A766D9">
          <w:rPr>
            <w:rStyle w:val="affff5"/>
          </w:rPr>
          <w:t>1  范围</w:t>
        </w:r>
        <w:r w:rsidR="00A766D9">
          <w:tab/>
        </w:r>
        <w:r w:rsidR="00A766D9">
          <w:fldChar w:fldCharType="begin"/>
        </w:r>
        <w:r w:rsidR="00A766D9">
          <w:instrText xml:space="preserve"> PAGEREF _Toc149973344 \h </w:instrText>
        </w:r>
        <w:r w:rsidR="00A766D9">
          <w:fldChar w:fldCharType="separate"/>
        </w:r>
        <w:r w:rsidR="00327460">
          <w:rPr>
            <w:noProof/>
          </w:rPr>
          <w:t>1</w:t>
        </w:r>
        <w:r w:rsidR="00A766D9">
          <w:fldChar w:fldCharType="end"/>
        </w:r>
      </w:hyperlink>
    </w:p>
    <w:p w:rsidR="0021102D" w:rsidRDefault="00827ED2">
      <w:pPr>
        <w:pStyle w:val="10"/>
        <w:tabs>
          <w:tab w:val="right" w:leader="dot" w:pos="9344"/>
        </w:tabs>
        <w:rPr>
          <w:rFonts w:asciiTheme="minorHAnsi" w:eastAsiaTheme="minorEastAsia" w:hAnsiTheme="minorHAnsi" w:cstheme="minorBidi"/>
          <w:szCs w:val="22"/>
          <w14:ligatures w14:val="standardContextual"/>
        </w:rPr>
      </w:pPr>
      <w:hyperlink w:anchor="_Toc149973345" w:history="1">
        <w:r w:rsidR="00A766D9">
          <w:rPr>
            <w:rStyle w:val="affff5"/>
          </w:rPr>
          <w:t>2  规范性引用文件</w:t>
        </w:r>
        <w:r w:rsidR="00A766D9">
          <w:tab/>
        </w:r>
        <w:r w:rsidR="00A766D9">
          <w:fldChar w:fldCharType="begin"/>
        </w:r>
        <w:r w:rsidR="00A766D9">
          <w:instrText xml:space="preserve"> PAGEREF _Toc149973345 \h </w:instrText>
        </w:r>
        <w:r w:rsidR="00A766D9">
          <w:fldChar w:fldCharType="separate"/>
        </w:r>
        <w:r w:rsidR="00327460">
          <w:rPr>
            <w:noProof/>
          </w:rPr>
          <w:t>1</w:t>
        </w:r>
        <w:r w:rsidR="00A766D9">
          <w:fldChar w:fldCharType="end"/>
        </w:r>
      </w:hyperlink>
    </w:p>
    <w:p w:rsidR="0021102D" w:rsidRDefault="00827ED2">
      <w:pPr>
        <w:pStyle w:val="10"/>
        <w:tabs>
          <w:tab w:val="right" w:leader="dot" w:pos="9344"/>
        </w:tabs>
        <w:rPr>
          <w:rFonts w:asciiTheme="minorHAnsi" w:eastAsiaTheme="minorEastAsia" w:hAnsiTheme="minorHAnsi" w:cstheme="minorBidi"/>
          <w:szCs w:val="22"/>
          <w14:ligatures w14:val="standardContextual"/>
        </w:rPr>
      </w:pPr>
      <w:hyperlink w:anchor="_Toc149973346" w:history="1">
        <w:r w:rsidR="00A766D9">
          <w:rPr>
            <w:rStyle w:val="affff5"/>
          </w:rPr>
          <w:t>3  术语和定义</w:t>
        </w:r>
        <w:r w:rsidR="00A766D9">
          <w:tab/>
        </w:r>
        <w:r w:rsidR="00A766D9">
          <w:fldChar w:fldCharType="begin"/>
        </w:r>
        <w:r w:rsidR="00A766D9">
          <w:instrText xml:space="preserve"> PAGEREF _Toc149973346 \h </w:instrText>
        </w:r>
        <w:r w:rsidR="00A766D9">
          <w:fldChar w:fldCharType="separate"/>
        </w:r>
        <w:r w:rsidR="00327460">
          <w:rPr>
            <w:noProof/>
          </w:rPr>
          <w:t>1</w:t>
        </w:r>
        <w:r w:rsidR="00A766D9">
          <w:fldChar w:fldCharType="end"/>
        </w:r>
      </w:hyperlink>
    </w:p>
    <w:p w:rsidR="0021102D" w:rsidRDefault="00827ED2">
      <w:pPr>
        <w:pStyle w:val="10"/>
        <w:tabs>
          <w:tab w:val="right" w:leader="dot" w:pos="9344"/>
        </w:tabs>
        <w:rPr>
          <w:rFonts w:asciiTheme="minorHAnsi" w:eastAsiaTheme="minorEastAsia" w:hAnsiTheme="minorHAnsi" w:cstheme="minorBidi"/>
          <w:szCs w:val="22"/>
          <w14:ligatures w14:val="standardContextual"/>
        </w:rPr>
      </w:pPr>
      <w:hyperlink w:anchor="_Toc149973347" w:history="1">
        <w:r w:rsidR="00A766D9">
          <w:rPr>
            <w:rStyle w:val="affff5"/>
          </w:rPr>
          <w:t>4  人员</w:t>
        </w:r>
        <w:r w:rsidR="00A766D9">
          <w:tab/>
        </w:r>
        <w:r w:rsidR="00A766D9">
          <w:fldChar w:fldCharType="begin"/>
        </w:r>
        <w:r w:rsidR="00A766D9">
          <w:instrText xml:space="preserve"> PAGEREF _Toc149973347 \h </w:instrText>
        </w:r>
        <w:r w:rsidR="00A766D9">
          <w:fldChar w:fldCharType="separate"/>
        </w:r>
        <w:r w:rsidR="00327460">
          <w:rPr>
            <w:noProof/>
          </w:rPr>
          <w:t>1</w:t>
        </w:r>
        <w:r w:rsidR="00A766D9">
          <w:fldChar w:fldCharType="end"/>
        </w:r>
      </w:hyperlink>
    </w:p>
    <w:p w:rsidR="0021102D" w:rsidRDefault="00827ED2">
      <w:pPr>
        <w:pStyle w:val="10"/>
        <w:tabs>
          <w:tab w:val="right" w:leader="dot" w:pos="9344"/>
        </w:tabs>
        <w:rPr>
          <w:rFonts w:asciiTheme="minorHAnsi" w:eastAsiaTheme="minorEastAsia" w:hAnsiTheme="minorHAnsi" w:cstheme="minorBidi"/>
          <w:szCs w:val="22"/>
          <w14:ligatures w14:val="standardContextual"/>
        </w:rPr>
      </w:pPr>
      <w:hyperlink w:anchor="_Toc149973348" w:history="1">
        <w:r w:rsidR="00A766D9">
          <w:rPr>
            <w:rStyle w:val="affff5"/>
          </w:rPr>
          <w:t>5  关键设备</w:t>
        </w:r>
        <w:r w:rsidR="00A766D9">
          <w:tab/>
        </w:r>
        <w:r w:rsidR="00A766D9">
          <w:fldChar w:fldCharType="begin"/>
        </w:r>
        <w:r w:rsidR="00A766D9">
          <w:instrText xml:space="preserve"> PAGEREF _Toc149973348 \h </w:instrText>
        </w:r>
        <w:r w:rsidR="00A766D9">
          <w:fldChar w:fldCharType="separate"/>
        </w:r>
        <w:r w:rsidR="00327460">
          <w:rPr>
            <w:noProof/>
          </w:rPr>
          <w:t>2</w:t>
        </w:r>
        <w:r w:rsidR="00A766D9">
          <w:fldChar w:fldCharType="end"/>
        </w:r>
      </w:hyperlink>
    </w:p>
    <w:p w:rsidR="0021102D" w:rsidRDefault="00827ED2">
      <w:pPr>
        <w:pStyle w:val="10"/>
        <w:tabs>
          <w:tab w:val="right" w:leader="dot" w:pos="9344"/>
        </w:tabs>
        <w:rPr>
          <w:rFonts w:asciiTheme="minorHAnsi" w:eastAsiaTheme="minorEastAsia" w:hAnsiTheme="minorHAnsi" w:cstheme="minorBidi"/>
          <w:szCs w:val="22"/>
          <w14:ligatures w14:val="standardContextual"/>
        </w:rPr>
      </w:pPr>
      <w:hyperlink w:anchor="_Toc149973349" w:history="1">
        <w:r w:rsidR="00A766D9">
          <w:rPr>
            <w:rStyle w:val="affff5"/>
          </w:rPr>
          <w:t>6  关键物料</w:t>
        </w:r>
        <w:r w:rsidR="00A766D9">
          <w:tab/>
        </w:r>
        <w:r w:rsidR="00A766D9">
          <w:fldChar w:fldCharType="begin"/>
        </w:r>
        <w:r w:rsidR="00A766D9">
          <w:instrText xml:space="preserve"> PAGEREF _Toc149973349 \h </w:instrText>
        </w:r>
        <w:r w:rsidR="00A766D9">
          <w:fldChar w:fldCharType="separate"/>
        </w:r>
        <w:r w:rsidR="00327460">
          <w:rPr>
            <w:noProof/>
          </w:rPr>
          <w:t>3</w:t>
        </w:r>
        <w:r w:rsidR="00A766D9">
          <w:fldChar w:fldCharType="end"/>
        </w:r>
      </w:hyperlink>
    </w:p>
    <w:p w:rsidR="0021102D" w:rsidRDefault="00827ED2">
      <w:pPr>
        <w:pStyle w:val="10"/>
        <w:tabs>
          <w:tab w:val="right" w:leader="dot" w:pos="9344"/>
        </w:tabs>
        <w:rPr>
          <w:rFonts w:asciiTheme="minorHAnsi" w:eastAsiaTheme="minorEastAsia" w:hAnsiTheme="minorHAnsi" w:cstheme="minorBidi"/>
          <w:szCs w:val="22"/>
          <w14:ligatures w14:val="standardContextual"/>
        </w:rPr>
      </w:pPr>
      <w:hyperlink w:anchor="_Toc149973350" w:history="1">
        <w:r w:rsidR="00A766D9">
          <w:rPr>
            <w:rStyle w:val="affff5"/>
          </w:rPr>
          <w:t>7  环境与场所</w:t>
        </w:r>
        <w:r w:rsidR="00A766D9">
          <w:tab/>
        </w:r>
        <w:r w:rsidR="00A766D9">
          <w:fldChar w:fldCharType="begin"/>
        </w:r>
        <w:r w:rsidR="00A766D9">
          <w:instrText xml:space="preserve"> PAGEREF _Toc149973350 \h </w:instrText>
        </w:r>
        <w:r w:rsidR="00A766D9">
          <w:fldChar w:fldCharType="separate"/>
        </w:r>
        <w:r w:rsidR="00327460">
          <w:rPr>
            <w:noProof/>
          </w:rPr>
          <w:t>4</w:t>
        </w:r>
        <w:r w:rsidR="00A766D9">
          <w:fldChar w:fldCharType="end"/>
        </w:r>
      </w:hyperlink>
    </w:p>
    <w:p w:rsidR="0021102D" w:rsidRDefault="00827ED2">
      <w:pPr>
        <w:pStyle w:val="10"/>
        <w:tabs>
          <w:tab w:val="right" w:leader="dot" w:pos="9344"/>
        </w:tabs>
        <w:rPr>
          <w:rFonts w:asciiTheme="minorHAnsi" w:eastAsiaTheme="minorEastAsia" w:hAnsiTheme="minorHAnsi" w:cstheme="minorBidi"/>
          <w:szCs w:val="22"/>
          <w14:ligatures w14:val="standardContextual"/>
        </w:rPr>
      </w:pPr>
      <w:hyperlink w:anchor="_Toc149973351" w:history="1">
        <w:r w:rsidR="00A766D9">
          <w:rPr>
            <w:rStyle w:val="affff5"/>
          </w:rPr>
          <w:t>8  献血不良反应预防和处置</w:t>
        </w:r>
        <w:r w:rsidR="00A766D9">
          <w:tab/>
        </w:r>
        <w:r w:rsidR="00A766D9">
          <w:fldChar w:fldCharType="begin"/>
        </w:r>
        <w:r w:rsidR="00A766D9">
          <w:instrText xml:space="preserve"> PAGEREF _Toc149973351 \h </w:instrText>
        </w:r>
        <w:r w:rsidR="00A766D9">
          <w:fldChar w:fldCharType="separate"/>
        </w:r>
        <w:r w:rsidR="00327460">
          <w:rPr>
            <w:noProof/>
          </w:rPr>
          <w:t>4</w:t>
        </w:r>
        <w:r w:rsidR="00A766D9">
          <w:fldChar w:fldCharType="end"/>
        </w:r>
      </w:hyperlink>
    </w:p>
    <w:p w:rsidR="0021102D" w:rsidRDefault="00827ED2">
      <w:pPr>
        <w:pStyle w:val="10"/>
        <w:tabs>
          <w:tab w:val="right" w:leader="dot" w:pos="9344"/>
        </w:tabs>
        <w:rPr>
          <w:rFonts w:asciiTheme="minorHAnsi" w:eastAsiaTheme="minorEastAsia" w:hAnsiTheme="minorHAnsi" w:cstheme="minorBidi"/>
          <w:szCs w:val="22"/>
          <w14:ligatures w14:val="standardContextual"/>
        </w:rPr>
      </w:pPr>
      <w:hyperlink w:anchor="_Toc149973352" w:history="1">
        <w:r w:rsidR="00A766D9">
          <w:rPr>
            <w:rStyle w:val="affff5"/>
          </w:rPr>
          <w:t>参考文献</w:t>
        </w:r>
        <w:r w:rsidR="00A766D9">
          <w:tab/>
        </w:r>
        <w:r w:rsidR="00A766D9">
          <w:fldChar w:fldCharType="begin"/>
        </w:r>
        <w:r w:rsidR="00A766D9">
          <w:instrText xml:space="preserve"> PAGEREF _Toc149973352 \h </w:instrText>
        </w:r>
        <w:r w:rsidR="00A766D9">
          <w:fldChar w:fldCharType="separate"/>
        </w:r>
        <w:r w:rsidR="00327460">
          <w:rPr>
            <w:noProof/>
          </w:rPr>
          <w:t>7</w:t>
        </w:r>
        <w:r w:rsidR="00A766D9">
          <w:fldChar w:fldCharType="end"/>
        </w:r>
      </w:hyperlink>
    </w:p>
    <w:p w:rsidR="0021102D" w:rsidRDefault="00A766D9">
      <w:pPr>
        <w:pStyle w:val="affffff3"/>
        <w:spacing w:after="468"/>
        <w:sectPr w:rsidR="0021102D">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type="lines" w:linePitch="312"/>
        </w:sectPr>
      </w:pPr>
      <w:r>
        <w:fldChar w:fldCharType="end"/>
      </w:r>
    </w:p>
    <w:p w:rsidR="0021102D" w:rsidRDefault="00A766D9">
      <w:pPr>
        <w:pStyle w:val="a6"/>
        <w:spacing w:before="900" w:after="468"/>
        <w:rPr>
          <w:rFonts w:ascii="Times New Roman"/>
        </w:rPr>
      </w:pPr>
      <w:bookmarkStart w:id="24" w:name="_Toc149973342"/>
      <w:bookmarkStart w:id="25" w:name="BookMark2"/>
      <w:bookmarkEnd w:id="21"/>
      <w:r>
        <w:rPr>
          <w:rFonts w:ascii="Times New Roman"/>
          <w:spacing w:val="320"/>
        </w:rPr>
        <w:lastRenderedPageBreak/>
        <w:t>前</w:t>
      </w:r>
      <w:r>
        <w:rPr>
          <w:rFonts w:ascii="Times New Roman"/>
        </w:rPr>
        <w:t>言</w:t>
      </w:r>
      <w:bookmarkEnd w:id="22"/>
      <w:bookmarkEnd w:id="23"/>
      <w:bookmarkEnd w:id="24"/>
    </w:p>
    <w:p w:rsidR="0021102D" w:rsidRDefault="00A766D9">
      <w:pPr>
        <w:pStyle w:val="affffe"/>
        <w:ind w:firstLine="420"/>
        <w:rPr>
          <w:rFonts w:ascii="Times New Roman"/>
        </w:rPr>
      </w:pPr>
      <w:r>
        <w:rPr>
          <w:rFonts w:ascii="Times New Roman"/>
        </w:rPr>
        <w:t>本文件按照</w:t>
      </w:r>
      <w:r>
        <w:rPr>
          <w:rFonts w:ascii="Times New Roman"/>
        </w:rPr>
        <w:t>GB/T 1.1—2020</w:t>
      </w:r>
      <w:r>
        <w:rPr>
          <w:rFonts w:ascii="Times New Roman"/>
        </w:rPr>
        <w:t>《标准化工作导则</w:t>
      </w:r>
      <w:r>
        <w:rPr>
          <w:rFonts w:ascii="Times New Roman"/>
        </w:rPr>
        <w:t xml:space="preserve">  </w:t>
      </w:r>
      <w:r>
        <w:rPr>
          <w:rFonts w:ascii="Times New Roman"/>
        </w:rPr>
        <w:t>第</w:t>
      </w:r>
      <w:r>
        <w:rPr>
          <w:rFonts w:ascii="Times New Roman"/>
        </w:rPr>
        <w:t>1</w:t>
      </w:r>
      <w:r>
        <w:rPr>
          <w:rFonts w:ascii="Times New Roman"/>
        </w:rPr>
        <w:t>部分：标准化文件的结构和起草规则》的规定起草。</w:t>
      </w:r>
    </w:p>
    <w:p w:rsidR="0021102D" w:rsidRDefault="00A766D9">
      <w:pPr>
        <w:pStyle w:val="affffe"/>
        <w:ind w:firstLine="420"/>
        <w:rPr>
          <w:rFonts w:ascii="Times New Roman"/>
        </w:rPr>
      </w:pPr>
      <w:bookmarkStart w:id="26" w:name="_Hlk148974054"/>
      <w:r>
        <w:rPr>
          <w:rFonts w:ascii="Times New Roman"/>
        </w:rPr>
        <w:t>DB XX/T</w:t>
      </w:r>
      <w:bookmarkEnd w:id="26"/>
      <w:r>
        <w:rPr>
          <w:rFonts w:ascii="Times New Roman" w:hint="eastAsia"/>
        </w:rPr>
        <w:t>《采供血过程风险管理》目前分为以下</w:t>
      </w:r>
      <w:r>
        <w:rPr>
          <w:rFonts w:ascii="Times New Roman"/>
        </w:rPr>
        <w:t>9</w:t>
      </w:r>
      <w:r>
        <w:rPr>
          <w:rFonts w:ascii="Times New Roman" w:hint="eastAsia"/>
        </w:rPr>
        <w:t>个部分：</w:t>
      </w:r>
    </w:p>
    <w:p w:rsidR="0021102D" w:rsidRDefault="00A766D9">
      <w:pPr>
        <w:pStyle w:val="affffe"/>
        <w:ind w:firstLine="420"/>
        <w:rPr>
          <w:rFonts w:ascii="Times New Roman"/>
        </w:rPr>
      </w:pPr>
      <w:r>
        <w:rPr>
          <w:rFonts w:ascii="Times New Roman"/>
        </w:rPr>
        <w:t>——</w:t>
      </w:r>
      <w:r>
        <w:rPr>
          <w:rFonts w:ascii="Times New Roman"/>
        </w:rPr>
        <w:t>第</w:t>
      </w:r>
      <w:r>
        <w:rPr>
          <w:rFonts w:ascii="Times New Roman"/>
        </w:rPr>
        <w:t>1</w:t>
      </w:r>
      <w:r>
        <w:rPr>
          <w:rFonts w:ascii="Times New Roman"/>
        </w:rPr>
        <w:t>部分：原则与实施指南；</w:t>
      </w:r>
    </w:p>
    <w:p w:rsidR="0021102D" w:rsidRDefault="00A766D9">
      <w:pPr>
        <w:pStyle w:val="affffe"/>
        <w:ind w:firstLine="420"/>
        <w:rPr>
          <w:rFonts w:ascii="Times New Roman"/>
        </w:rPr>
      </w:pPr>
      <w:r>
        <w:rPr>
          <w:rFonts w:ascii="Times New Roman"/>
        </w:rPr>
        <w:t>——</w:t>
      </w:r>
      <w:r>
        <w:rPr>
          <w:rFonts w:ascii="Times New Roman"/>
        </w:rPr>
        <w:t>第</w:t>
      </w:r>
      <w:r>
        <w:rPr>
          <w:rFonts w:ascii="Times New Roman"/>
        </w:rPr>
        <w:t>2</w:t>
      </w:r>
      <w:r>
        <w:rPr>
          <w:rFonts w:ascii="Times New Roman"/>
        </w:rPr>
        <w:t>部分：</w:t>
      </w:r>
      <w:r>
        <w:rPr>
          <w:rFonts w:ascii="Times New Roman" w:hint="eastAsia"/>
        </w:rPr>
        <w:t>献血者健康检查和</w:t>
      </w:r>
      <w:r>
        <w:rPr>
          <w:rFonts w:ascii="Times New Roman"/>
        </w:rPr>
        <w:t>血液采集风险控制规范；</w:t>
      </w:r>
    </w:p>
    <w:p w:rsidR="0021102D" w:rsidRDefault="00A766D9">
      <w:pPr>
        <w:pStyle w:val="affffe"/>
        <w:ind w:firstLine="420"/>
        <w:rPr>
          <w:rFonts w:ascii="Times New Roman"/>
        </w:rPr>
      </w:pPr>
      <w:r>
        <w:rPr>
          <w:rFonts w:ascii="Times New Roman"/>
        </w:rPr>
        <w:t>——</w:t>
      </w:r>
      <w:r>
        <w:rPr>
          <w:rFonts w:ascii="Times New Roman"/>
        </w:rPr>
        <w:t>第</w:t>
      </w:r>
      <w:r>
        <w:rPr>
          <w:rFonts w:ascii="Times New Roman"/>
        </w:rPr>
        <w:t>3</w:t>
      </w:r>
      <w:r>
        <w:rPr>
          <w:rFonts w:ascii="Times New Roman"/>
        </w:rPr>
        <w:t>部分：献血不良反应风险控制规范；</w:t>
      </w:r>
      <w:r>
        <w:rPr>
          <w:rFonts w:ascii="Times New Roman"/>
        </w:rPr>
        <w:t xml:space="preserve"> </w:t>
      </w:r>
    </w:p>
    <w:p w:rsidR="0021102D" w:rsidRDefault="00A766D9">
      <w:pPr>
        <w:pStyle w:val="affffe"/>
        <w:ind w:firstLine="420"/>
        <w:rPr>
          <w:rFonts w:ascii="Times New Roman"/>
        </w:rPr>
      </w:pPr>
      <w:r>
        <w:rPr>
          <w:rFonts w:ascii="Times New Roman"/>
        </w:rPr>
        <w:t>——</w:t>
      </w:r>
      <w:r>
        <w:rPr>
          <w:rFonts w:ascii="Times New Roman"/>
        </w:rPr>
        <w:t>第</w:t>
      </w:r>
      <w:r>
        <w:rPr>
          <w:rFonts w:ascii="Times New Roman"/>
        </w:rPr>
        <w:t>4</w:t>
      </w:r>
      <w:r>
        <w:rPr>
          <w:rFonts w:ascii="Times New Roman"/>
        </w:rPr>
        <w:t>部分：血液成分制备</w:t>
      </w:r>
      <w:r>
        <w:rPr>
          <w:rFonts w:ascii="Times New Roman" w:hint="eastAsia"/>
        </w:rPr>
        <w:t>和供应</w:t>
      </w:r>
      <w:r>
        <w:rPr>
          <w:rFonts w:ascii="Times New Roman"/>
        </w:rPr>
        <w:t>风险控制规范；</w:t>
      </w:r>
    </w:p>
    <w:p w:rsidR="0021102D" w:rsidRDefault="00A766D9">
      <w:pPr>
        <w:pStyle w:val="affffe"/>
        <w:ind w:firstLine="420"/>
        <w:rPr>
          <w:rFonts w:ascii="Times New Roman"/>
        </w:rPr>
      </w:pPr>
      <w:r>
        <w:rPr>
          <w:rFonts w:ascii="Times New Roman"/>
        </w:rPr>
        <w:t>——</w:t>
      </w:r>
      <w:r>
        <w:rPr>
          <w:rFonts w:ascii="Times New Roman"/>
        </w:rPr>
        <w:t>第</w:t>
      </w:r>
      <w:r>
        <w:rPr>
          <w:rFonts w:ascii="Times New Roman"/>
        </w:rPr>
        <w:t>5</w:t>
      </w:r>
      <w:r>
        <w:rPr>
          <w:rFonts w:ascii="Times New Roman"/>
        </w:rPr>
        <w:t>部分：血液检测风险控制规范；</w:t>
      </w:r>
    </w:p>
    <w:p w:rsidR="0021102D" w:rsidRDefault="00A766D9">
      <w:pPr>
        <w:pStyle w:val="affffe"/>
        <w:ind w:firstLine="420"/>
        <w:rPr>
          <w:rFonts w:ascii="Times New Roman"/>
        </w:rPr>
      </w:pPr>
      <w:r>
        <w:rPr>
          <w:rFonts w:ascii="Times New Roman"/>
        </w:rPr>
        <w:t>——</w:t>
      </w:r>
      <w:r>
        <w:rPr>
          <w:rFonts w:ascii="Times New Roman"/>
        </w:rPr>
        <w:t>第</w:t>
      </w:r>
      <w:r>
        <w:rPr>
          <w:rFonts w:ascii="Times New Roman"/>
        </w:rPr>
        <w:t>6</w:t>
      </w:r>
      <w:r>
        <w:rPr>
          <w:rFonts w:ascii="Times New Roman"/>
        </w:rPr>
        <w:t>部分：质量管理和确认风险控制规范；</w:t>
      </w:r>
    </w:p>
    <w:p w:rsidR="0021102D" w:rsidRDefault="00A766D9">
      <w:pPr>
        <w:pStyle w:val="affffe"/>
        <w:ind w:firstLine="420"/>
        <w:rPr>
          <w:rFonts w:ascii="Times New Roman"/>
        </w:rPr>
      </w:pPr>
      <w:r>
        <w:rPr>
          <w:rFonts w:ascii="Times New Roman"/>
        </w:rPr>
        <w:t>——</w:t>
      </w:r>
      <w:r>
        <w:rPr>
          <w:rFonts w:ascii="Times New Roman"/>
        </w:rPr>
        <w:t>第</w:t>
      </w:r>
      <w:r>
        <w:rPr>
          <w:rFonts w:ascii="Times New Roman"/>
        </w:rPr>
        <w:t>7</w:t>
      </w:r>
      <w:r>
        <w:rPr>
          <w:rFonts w:ascii="Times New Roman"/>
        </w:rPr>
        <w:t>部分：信息系统风险控制规范；</w:t>
      </w:r>
    </w:p>
    <w:p w:rsidR="0021102D" w:rsidRDefault="00A766D9">
      <w:pPr>
        <w:pStyle w:val="affffe"/>
        <w:ind w:firstLine="420"/>
        <w:rPr>
          <w:rFonts w:ascii="Times New Roman"/>
        </w:rPr>
      </w:pPr>
      <w:r>
        <w:rPr>
          <w:rFonts w:ascii="Times New Roman"/>
        </w:rPr>
        <w:t>——</w:t>
      </w:r>
      <w:r>
        <w:rPr>
          <w:rFonts w:ascii="Times New Roman"/>
        </w:rPr>
        <w:t>第</w:t>
      </w:r>
      <w:r>
        <w:rPr>
          <w:rFonts w:ascii="Times New Roman"/>
        </w:rPr>
        <w:t>8</w:t>
      </w:r>
      <w:r>
        <w:rPr>
          <w:rFonts w:ascii="Times New Roman"/>
        </w:rPr>
        <w:t>部分：血液应急保障风险控制规范；</w:t>
      </w:r>
    </w:p>
    <w:p w:rsidR="0021102D" w:rsidRDefault="00A766D9">
      <w:pPr>
        <w:pStyle w:val="affffe"/>
        <w:ind w:firstLine="420"/>
        <w:rPr>
          <w:rFonts w:ascii="Times New Roman"/>
        </w:rPr>
      </w:pPr>
      <w:r>
        <w:rPr>
          <w:rFonts w:ascii="Times New Roman"/>
        </w:rPr>
        <w:t>——</w:t>
      </w:r>
      <w:r>
        <w:rPr>
          <w:rFonts w:ascii="Times New Roman"/>
        </w:rPr>
        <w:t>第</w:t>
      </w:r>
      <w:r>
        <w:rPr>
          <w:rFonts w:ascii="Times New Roman"/>
        </w:rPr>
        <w:t>9</w:t>
      </w:r>
      <w:r>
        <w:rPr>
          <w:rFonts w:ascii="Times New Roman"/>
        </w:rPr>
        <w:t>部分：职业暴露风险控制规范。</w:t>
      </w:r>
    </w:p>
    <w:p w:rsidR="0021102D" w:rsidRDefault="00A766D9">
      <w:pPr>
        <w:pStyle w:val="affffe"/>
        <w:ind w:firstLineChars="195" w:firstLine="409"/>
        <w:rPr>
          <w:rFonts w:ascii="Times New Roman"/>
        </w:rPr>
      </w:pPr>
      <w:r>
        <w:rPr>
          <w:rFonts w:ascii="Times New Roman"/>
        </w:rPr>
        <w:t>本文件为</w:t>
      </w:r>
      <w:r>
        <w:rPr>
          <w:rFonts w:ascii="Times New Roman"/>
        </w:rPr>
        <w:t>DB XX/T</w:t>
      </w:r>
      <w:r>
        <w:rPr>
          <w:rFonts w:ascii="Times New Roman" w:hint="eastAsia"/>
        </w:rPr>
        <w:t xml:space="preserve"> </w:t>
      </w:r>
      <w:r>
        <w:rPr>
          <w:rFonts w:ascii="Times New Roman"/>
        </w:rPr>
        <w:t>的第</w:t>
      </w:r>
      <w:r>
        <w:rPr>
          <w:rFonts w:ascii="Times New Roman"/>
        </w:rPr>
        <w:t>3</w:t>
      </w:r>
      <w:r>
        <w:rPr>
          <w:rFonts w:ascii="Times New Roman"/>
        </w:rPr>
        <w:t>部分。</w:t>
      </w:r>
    </w:p>
    <w:p w:rsidR="0021102D" w:rsidRDefault="00A766D9">
      <w:pPr>
        <w:pStyle w:val="affffe"/>
        <w:ind w:firstLineChars="95" w:firstLine="199"/>
      </w:pPr>
      <w:r>
        <w:rPr>
          <w:rFonts w:hint="eastAsia"/>
        </w:rPr>
        <w:t xml:space="preserve"> </w:t>
      </w:r>
      <w:r>
        <w:t xml:space="preserve"> </w:t>
      </w:r>
      <w:r>
        <w:rPr>
          <w:rFonts w:hint="eastAsia"/>
        </w:rPr>
        <w:t>请注意本文件的某些内容可能涉及专利。本文件的发布机构不承担识别专利的责任。</w:t>
      </w:r>
    </w:p>
    <w:p w:rsidR="0021102D" w:rsidRDefault="00A766D9">
      <w:pPr>
        <w:pStyle w:val="affffe"/>
        <w:ind w:firstLine="420"/>
      </w:pPr>
      <w:r>
        <w:rPr>
          <w:rFonts w:hint="eastAsia"/>
        </w:rPr>
        <w:t>本文件由江苏省卫生健康委员会提出。</w:t>
      </w:r>
    </w:p>
    <w:p w:rsidR="0021102D" w:rsidRDefault="00A766D9">
      <w:pPr>
        <w:pStyle w:val="affffe"/>
        <w:ind w:firstLine="420"/>
      </w:pPr>
      <w:r>
        <w:rPr>
          <w:rFonts w:hint="eastAsia"/>
        </w:rPr>
        <w:t>本文件由江苏省卫生标准化技术委员会归口。</w:t>
      </w:r>
    </w:p>
    <w:p w:rsidR="0021102D" w:rsidRDefault="00A766D9">
      <w:pPr>
        <w:pStyle w:val="affffe"/>
        <w:ind w:firstLine="420"/>
      </w:pPr>
      <w:r>
        <w:rPr>
          <w:rFonts w:hint="eastAsia"/>
        </w:rPr>
        <w:t>本文件起草单位：淮安市中心血站、江苏省血液中心、南京红十字血液中心。</w:t>
      </w:r>
    </w:p>
    <w:p w:rsidR="0021102D" w:rsidRDefault="00A766D9">
      <w:pPr>
        <w:pStyle w:val="affffe"/>
        <w:ind w:firstLine="420"/>
      </w:pPr>
      <w:r>
        <w:rPr>
          <w:rFonts w:hint="eastAsia"/>
        </w:rPr>
        <w:t>本文件主要起草人：谈庆、滕平、李丽、周静宇、傅强、孙俊艳、蔡丽娜、李玲、艾俊、陈云。</w:t>
      </w:r>
    </w:p>
    <w:p w:rsidR="0021102D" w:rsidRDefault="0021102D">
      <w:pPr>
        <w:pStyle w:val="affffe"/>
        <w:ind w:firstLine="420"/>
      </w:pPr>
    </w:p>
    <w:p w:rsidR="0021102D" w:rsidRDefault="0021102D">
      <w:pPr>
        <w:pStyle w:val="affffe"/>
        <w:ind w:firstLine="420"/>
        <w:sectPr w:rsidR="0021102D">
          <w:pgSz w:w="11906" w:h="16838"/>
          <w:pgMar w:top="1928" w:right="1134" w:bottom="1134" w:left="1134" w:header="1418" w:footer="1134" w:gutter="284"/>
          <w:pgNumType w:fmt="upperRoman"/>
          <w:cols w:space="425"/>
          <w:formProt w:val="0"/>
          <w:docGrid w:type="lines" w:linePitch="312"/>
        </w:sectPr>
      </w:pPr>
    </w:p>
    <w:p w:rsidR="0021102D" w:rsidRDefault="00A766D9">
      <w:pPr>
        <w:pStyle w:val="a6"/>
        <w:spacing w:after="468"/>
      </w:pPr>
      <w:bookmarkStart w:id="27" w:name="_Toc25385"/>
      <w:bookmarkStart w:id="28" w:name="_Toc149973343"/>
      <w:bookmarkStart w:id="29" w:name="BookMark3"/>
      <w:bookmarkEnd w:id="25"/>
      <w:r>
        <w:rPr>
          <w:spacing w:val="320"/>
        </w:rPr>
        <w:lastRenderedPageBreak/>
        <w:t>引</w:t>
      </w:r>
      <w:r>
        <w:t>言</w:t>
      </w:r>
      <w:bookmarkEnd w:id="27"/>
      <w:bookmarkEnd w:id="28"/>
    </w:p>
    <w:p w:rsidR="0021102D" w:rsidRDefault="00A766D9">
      <w:pPr>
        <w:pStyle w:val="affffe"/>
        <w:ind w:firstLine="420"/>
      </w:pPr>
      <w:r>
        <w:rPr>
          <w:rFonts w:hint="eastAsia"/>
        </w:rPr>
        <w:t>采供血风险是指发生采供血不良事件的可能性。采供血风险管理是把血液损失，献血者、用血者和血站员工损害风险降至最低的管理过程。</w:t>
      </w:r>
    </w:p>
    <w:p w:rsidR="0021102D" w:rsidRDefault="00A766D9">
      <w:pPr>
        <w:pStyle w:val="affffe"/>
        <w:ind w:firstLine="420"/>
        <w:rPr>
          <w:rFonts w:ascii="Times New Roman"/>
        </w:rPr>
      </w:pPr>
      <w:r>
        <w:rPr>
          <w:rFonts w:ascii="Times New Roman"/>
        </w:rPr>
        <w:t>DB XX/T</w:t>
      </w:r>
      <w:r>
        <w:rPr>
          <w:rFonts w:ascii="Times New Roman"/>
        </w:rPr>
        <w:t>《采供血过程风险管理》目前分为以下</w:t>
      </w:r>
      <w:r>
        <w:rPr>
          <w:rFonts w:ascii="Times New Roman"/>
        </w:rPr>
        <w:t>9</w:t>
      </w:r>
      <w:r>
        <w:rPr>
          <w:rFonts w:ascii="Times New Roman"/>
        </w:rPr>
        <w:t>个部分：</w:t>
      </w:r>
    </w:p>
    <w:p w:rsidR="0021102D" w:rsidRDefault="00A766D9">
      <w:pPr>
        <w:pStyle w:val="affffe"/>
        <w:ind w:firstLine="420"/>
        <w:rPr>
          <w:rFonts w:ascii="Times New Roman"/>
        </w:rPr>
      </w:pPr>
      <w:r>
        <w:rPr>
          <w:rFonts w:ascii="Times New Roman"/>
        </w:rPr>
        <w:t>——</w:t>
      </w:r>
      <w:r>
        <w:rPr>
          <w:rFonts w:ascii="Times New Roman"/>
        </w:rPr>
        <w:t>第</w:t>
      </w:r>
      <w:r>
        <w:rPr>
          <w:rFonts w:ascii="Times New Roman"/>
        </w:rPr>
        <w:t>1</w:t>
      </w:r>
      <w:r>
        <w:rPr>
          <w:rFonts w:ascii="Times New Roman"/>
        </w:rPr>
        <w:t>部分：原则与实施指南；</w:t>
      </w:r>
    </w:p>
    <w:p w:rsidR="0021102D" w:rsidRDefault="00A766D9">
      <w:pPr>
        <w:pStyle w:val="affffe"/>
        <w:ind w:firstLine="420"/>
        <w:rPr>
          <w:rFonts w:ascii="Times New Roman"/>
        </w:rPr>
      </w:pPr>
      <w:r>
        <w:rPr>
          <w:rFonts w:ascii="Times New Roman"/>
        </w:rPr>
        <w:t>——</w:t>
      </w:r>
      <w:r>
        <w:rPr>
          <w:rFonts w:ascii="Times New Roman"/>
        </w:rPr>
        <w:t>第</w:t>
      </w:r>
      <w:r>
        <w:rPr>
          <w:rFonts w:ascii="Times New Roman"/>
        </w:rPr>
        <w:t>2</w:t>
      </w:r>
      <w:r>
        <w:rPr>
          <w:rFonts w:ascii="Times New Roman"/>
        </w:rPr>
        <w:t>部分：献血者健康检查和血液采集风险控制规范；</w:t>
      </w:r>
    </w:p>
    <w:p w:rsidR="0021102D" w:rsidRDefault="00A766D9">
      <w:pPr>
        <w:pStyle w:val="affffe"/>
        <w:ind w:firstLine="420"/>
        <w:rPr>
          <w:rFonts w:ascii="Times New Roman"/>
        </w:rPr>
      </w:pPr>
      <w:r>
        <w:rPr>
          <w:rFonts w:ascii="Times New Roman"/>
        </w:rPr>
        <w:t>——</w:t>
      </w:r>
      <w:r>
        <w:rPr>
          <w:rFonts w:ascii="Times New Roman"/>
        </w:rPr>
        <w:t>第</w:t>
      </w:r>
      <w:r>
        <w:rPr>
          <w:rFonts w:ascii="Times New Roman"/>
        </w:rPr>
        <w:t>3</w:t>
      </w:r>
      <w:r>
        <w:rPr>
          <w:rFonts w:ascii="Times New Roman"/>
        </w:rPr>
        <w:t>部分：献血不良反应风险控制规范；</w:t>
      </w:r>
      <w:r>
        <w:rPr>
          <w:rFonts w:ascii="Times New Roman"/>
        </w:rPr>
        <w:t xml:space="preserve"> </w:t>
      </w:r>
    </w:p>
    <w:p w:rsidR="0021102D" w:rsidRDefault="00A766D9">
      <w:pPr>
        <w:pStyle w:val="affffe"/>
        <w:ind w:firstLine="420"/>
        <w:rPr>
          <w:rFonts w:ascii="Times New Roman"/>
        </w:rPr>
      </w:pPr>
      <w:r>
        <w:rPr>
          <w:rFonts w:ascii="Times New Roman"/>
        </w:rPr>
        <w:t>——</w:t>
      </w:r>
      <w:r>
        <w:rPr>
          <w:rFonts w:ascii="Times New Roman"/>
        </w:rPr>
        <w:t>第</w:t>
      </w:r>
      <w:r>
        <w:rPr>
          <w:rFonts w:ascii="Times New Roman"/>
        </w:rPr>
        <w:t>4</w:t>
      </w:r>
      <w:r>
        <w:rPr>
          <w:rFonts w:ascii="Times New Roman"/>
        </w:rPr>
        <w:t>部分：血液成分制备和供应风险控制规范；</w:t>
      </w:r>
    </w:p>
    <w:p w:rsidR="0021102D" w:rsidRDefault="00A766D9">
      <w:pPr>
        <w:pStyle w:val="affffe"/>
        <w:ind w:firstLine="420"/>
        <w:rPr>
          <w:rFonts w:ascii="Times New Roman"/>
        </w:rPr>
      </w:pPr>
      <w:r>
        <w:rPr>
          <w:rFonts w:ascii="Times New Roman"/>
        </w:rPr>
        <w:t>——</w:t>
      </w:r>
      <w:r>
        <w:rPr>
          <w:rFonts w:ascii="Times New Roman"/>
        </w:rPr>
        <w:t>第</w:t>
      </w:r>
      <w:r>
        <w:rPr>
          <w:rFonts w:ascii="Times New Roman"/>
        </w:rPr>
        <w:t>5</w:t>
      </w:r>
      <w:r>
        <w:rPr>
          <w:rFonts w:ascii="Times New Roman"/>
        </w:rPr>
        <w:t>部分：血液检测风险控制规范；</w:t>
      </w:r>
    </w:p>
    <w:p w:rsidR="0021102D" w:rsidRDefault="00A766D9">
      <w:pPr>
        <w:pStyle w:val="affffe"/>
        <w:ind w:firstLine="420"/>
        <w:rPr>
          <w:rFonts w:ascii="Times New Roman"/>
        </w:rPr>
      </w:pPr>
      <w:r>
        <w:rPr>
          <w:rFonts w:ascii="Times New Roman"/>
        </w:rPr>
        <w:t>——</w:t>
      </w:r>
      <w:r>
        <w:rPr>
          <w:rFonts w:ascii="Times New Roman"/>
        </w:rPr>
        <w:t>第</w:t>
      </w:r>
      <w:r>
        <w:rPr>
          <w:rFonts w:ascii="Times New Roman"/>
        </w:rPr>
        <w:t>6</w:t>
      </w:r>
      <w:r>
        <w:rPr>
          <w:rFonts w:ascii="Times New Roman"/>
        </w:rPr>
        <w:t>部分：质量管理和确认风险控制规范；</w:t>
      </w:r>
    </w:p>
    <w:p w:rsidR="0021102D" w:rsidRDefault="00A766D9">
      <w:pPr>
        <w:pStyle w:val="affffe"/>
        <w:ind w:firstLine="420"/>
        <w:rPr>
          <w:rFonts w:ascii="Times New Roman"/>
        </w:rPr>
      </w:pPr>
      <w:r>
        <w:rPr>
          <w:rFonts w:ascii="Times New Roman"/>
        </w:rPr>
        <w:t>——</w:t>
      </w:r>
      <w:r>
        <w:rPr>
          <w:rFonts w:ascii="Times New Roman"/>
        </w:rPr>
        <w:t>第</w:t>
      </w:r>
      <w:r>
        <w:rPr>
          <w:rFonts w:ascii="Times New Roman"/>
        </w:rPr>
        <w:t>7</w:t>
      </w:r>
      <w:r>
        <w:rPr>
          <w:rFonts w:ascii="Times New Roman"/>
        </w:rPr>
        <w:t>部分：信息系统风险控制规范；</w:t>
      </w:r>
    </w:p>
    <w:p w:rsidR="0021102D" w:rsidRDefault="00A766D9">
      <w:pPr>
        <w:pStyle w:val="affffe"/>
        <w:ind w:firstLine="420"/>
        <w:rPr>
          <w:rFonts w:ascii="Times New Roman"/>
        </w:rPr>
      </w:pPr>
      <w:r>
        <w:rPr>
          <w:rFonts w:ascii="Times New Roman"/>
        </w:rPr>
        <w:t>——</w:t>
      </w:r>
      <w:r>
        <w:rPr>
          <w:rFonts w:ascii="Times New Roman"/>
        </w:rPr>
        <w:t>第</w:t>
      </w:r>
      <w:r>
        <w:rPr>
          <w:rFonts w:ascii="Times New Roman"/>
        </w:rPr>
        <w:t>8</w:t>
      </w:r>
      <w:r>
        <w:rPr>
          <w:rFonts w:ascii="Times New Roman"/>
        </w:rPr>
        <w:t>部分：血液应急保障风险控制规范；</w:t>
      </w:r>
    </w:p>
    <w:p w:rsidR="0021102D" w:rsidRDefault="00A766D9">
      <w:pPr>
        <w:pStyle w:val="affffe"/>
        <w:ind w:firstLine="420"/>
        <w:rPr>
          <w:rFonts w:ascii="Times New Roman"/>
        </w:rPr>
      </w:pPr>
      <w:r>
        <w:rPr>
          <w:rFonts w:ascii="Times New Roman"/>
        </w:rPr>
        <w:t>——</w:t>
      </w:r>
      <w:r>
        <w:rPr>
          <w:rFonts w:ascii="Times New Roman"/>
        </w:rPr>
        <w:t>第</w:t>
      </w:r>
      <w:r>
        <w:rPr>
          <w:rFonts w:ascii="Times New Roman"/>
        </w:rPr>
        <w:t>9</w:t>
      </w:r>
      <w:r>
        <w:rPr>
          <w:rFonts w:ascii="Times New Roman"/>
        </w:rPr>
        <w:t>部分：职业暴露风险控制规范。</w:t>
      </w:r>
    </w:p>
    <w:p w:rsidR="0021102D" w:rsidRDefault="00A766D9">
      <w:pPr>
        <w:pStyle w:val="affffe"/>
        <w:ind w:firstLine="420"/>
      </w:pPr>
      <w:r>
        <w:rPr>
          <w:rFonts w:ascii="Times New Roman"/>
        </w:rPr>
        <w:t>DB XX/T</w:t>
      </w:r>
      <w:r>
        <w:rPr>
          <w:rFonts w:ascii="Times New Roman"/>
        </w:rPr>
        <w:t>的制定填补了我国血站采供血过程风险管理标准化的空白，为血站建立采供血过程风险管理体系、确定风险管理</w:t>
      </w:r>
      <w:r>
        <w:rPr>
          <w:rFonts w:hint="eastAsia"/>
        </w:rPr>
        <w:t>过程、制定风险控制措施提供依据，对保证血液质量，保护献血者、用血者和血站员工安全，保障患者医疗救治效果，有着重要意义。</w:t>
      </w:r>
    </w:p>
    <w:p w:rsidR="0021102D" w:rsidRDefault="0021102D">
      <w:pPr>
        <w:pStyle w:val="affffe"/>
        <w:ind w:firstLine="420"/>
      </w:pPr>
    </w:p>
    <w:p w:rsidR="0021102D" w:rsidRDefault="0021102D">
      <w:pPr>
        <w:pStyle w:val="affffe"/>
        <w:ind w:firstLine="420"/>
        <w:sectPr w:rsidR="0021102D">
          <w:pgSz w:w="11906" w:h="16838"/>
          <w:pgMar w:top="1928" w:right="1134" w:bottom="1134" w:left="1134" w:header="1418" w:footer="1134" w:gutter="284"/>
          <w:pgNumType w:fmt="upperRoman"/>
          <w:cols w:space="425"/>
          <w:formProt w:val="0"/>
          <w:docGrid w:type="lines" w:linePitch="312"/>
        </w:sectPr>
      </w:pPr>
    </w:p>
    <w:p w:rsidR="0021102D" w:rsidRDefault="0021102D">
      <w:pPr>
        <w:spacing w:line="20" w:lineRule="exact"/>
        <w:jc w:val="center"/>
        <w:rPr>
          <w:rFonts w:ascii="黑体" w:eastAsia="黑体" w:hAnsi="黑体"/>
          <w:sz w:val="32"/>
          <w:szCs w:val="32"/>
        </w:rPr>
      </w:pPr>
      <w:bookmarkStart w:id="30" w:name="BookMark4"/>
      <w:bookmarkEnd w:id="29"/>
    </w:p>
    <w:p w:rsidR="0021102D" w:rsidRDefault="0021102D">
      <w:pPr>
        <w:spacing w:line="20" w:lineRule="exact"/>
        <w:jc w:val="center"/>
        <w:rPr>
          <w:rFonts w:ascii="黑体" w:eastAsia="黑体" w:hAnsi="黑体"/>
          <w:sz w:val="32"/>
          <w:szCs w:val="32"/>
        </w:rPr>
      </w:pPr>
    </w:p>
    <w:bookmarkStart w:id="31" w:name="NEW_STAND_NAME" w:displacedByCustomXml="next"/>
    <w:sdt>
      <w:sdtPr>
        <w:tag w:val="NEW_STAND_NAME"/>
        <w:id w:val="595910757"/>
        <w:lock w:val="sdtLocked"/>
        <w:placeholder>
          <w:docPart w:val="C3E210992AF643B0B901E2ABCCD60CC5"/>
        </w:placeholder>
      </w:sdtPr>
      <w:sdtEndPr/>
      <w:sdtContent>
        <w:p w:rsidR="0021102D" w:rsidRDefault="00A766D9">
          <w:pPr>
            <w:pStyle w:val="afffffffff1"/>
            <w:spacing w:beforeLines="1" w:before="3" w:afterLines="1" w:after="3"/>
          </w:pPr>
          <w:r>
            <w:rPr>
              <w:rFonts w:hint="eastAsia"/>
            </w:rPr>
            <w:t>采供血过程风险管理</w:t>
          </w:r>
        </w:p>
        <w:p w:rsidR="0021102D" w:rsidRDefault="00A766D9">
          <w:pPr>
            <w:pStyle w:val="afffffffff1"/>
            <w:spacing w:beforeLines="1" w:before="3" w:after="680"/>
          </w:pPr>
          <w:r>
            <w:rPr>
              <w:rFonts w:hint="eastAsia"/>
            </w:rPr>
            <w:t>第</w:t>
          </w:r>
          <w:r>
            <w:t>3部分：献血不良反应风险控制规范</w:t>
          </w:r>
        </w:p>
      </w:sdtContent>
    </w:sdt>
    <w:p w:rsidR="0021102D" w:rsidRDefault="00A766D9">
      <w:pPr>
        <w:pStyle w:val="affc"/>
        <w:spacing w:before="312" w:after="312"/>
      </w:pPr>
      <w:bookmarkStart w:id="32" w:name="_Toc17233325"/>
      <w:bookmarkStart w:id="33" w:name="_Toc147957741"/>
      <w:bookmarkStart w:id="34" w:name="_Toc147957916"/>
      <w:bookmarkStart w:id="35" w:name="_Toc26648465"/>
      <w:bookmarkStart w:id="36" w:name="_Toc26986771"/>
      <w:bookmarkStart w:id="37" w:name="_Toc149973344"/>
      <w:bookmarkStart w:id="38" w:name="_Toc19972"/>
      <w:bookmarkStart w:id="39" w:name="_Toc147957781"/>
      <w:bookmarkStart w:id="40" w:name="_Toc147952717"/>
      <w:bookmarkStart w:id="41" w:name="_Toc24884218"/>
      <w:bookmarkStart w:id="42" w:name="_Toc26986530"/>
      <w:bookmarkStart w:id="43" w:name="_Toc97191423"/>
      <w:bookmarkStart w:id="44" w:name="_Toc26718930"/>
      <w:bookmarkStart w:id="45" w:name="_Toc17233333"/>
      <w:bookmarkStart w:id="46" w:name="_Toc147958245"/>
      <w:bookmarkStart w:id="47" w:name="_Toc147958059"/>
      <w:bookmarkStart w:id="48" w:name="_Toc24884211"/>
      <w:bookmarkEnd w:id="31"/>
      <w:r>
        <w:rPr>
          <w:rFonts w:hint="eastAsia"/>
        </w:rPr>
        <w:t>范围</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rsidR="0021102D" w:rsidRDefault="00A766D9">
      <w:pPr>
        <w:pStyle w:val="affffe"/>
        <w:ind w:left="0" w:firstLine="420"/>
        <w:rPr>
          <w:rFonts w:ascii="Times New Roman"/>
        </w:rPr>
      </w:pPr>
      <w:bookmarkStart w:id="49" w:name="_Toc24884212"/>
      <w:bookmarkStart w:id="50" w:name="_Toc17233334"/>
      <w:bookmarkStart w:id="51" w:name="_Toc17233326"/>
      <w:bookmarkStart w:id="52" w:name="_Toc24884219"/>
      <w:bookmarkStart w:id="53" w:name="_Toc26648466"/>
      <w:r>
        <w:rPr>
          <w:rFonts w:ascii="Times New Roman"/>
        </w:rPr>
        <w:t>本文件提供了献血不良反应过程及其人员、设备、物料、环境与场所的风险和风险控制要求。</w:t>
      </w:r>
    </w:p>
    <w:p w:rsidR="0021102D" w:rsidRDefault="00A766D9">
      <w:pPr>
        <w:pStyle w:val="affffe"/>
        <w:ind w:left="0" w:firstLine="420"/>
        <w:rPr>
          <w:rFonts w:ascii="Times New Roman"/>
        </w:rPr>
      </w:pPr>
      <w:r>
        <w:rPr>
          <w:rFonts w:ascii="Times New Roman"/>
        </w:rPr>
        <w:t>本文件适用于一般血站献血不良反应过程的风险控制。</w:t>
      </w:r>
    </w:p>
    <w:p w:rsidR="0021102D" w:rsidRDefault="00A766D9">
      <w:pPr>
        <w:pStyle w:val="affc"/>
        <w:spacing w:before="312" w:after="312"/>
        <w:rPr>
          <w:rFonts w:ascii="Times New Roman"/>
        </w:rPr>
      </w:pPr>
      <w:bookmarkStart w:id="54" w:name="_Toc147957742"/>
      <w:bookmarkStart w:id="55" w:name="_Toc26986772"/>
      <w:bookmarkStart w:id="56" w:name="_Toc97191424"/>
      <w:bookmarkStart w:id="57" w:name="_Toc26986531"/>
      <w:bookmarkStart w:id="58" w:name="_Toc147957782"/>
      <w:bookmarkStart w:id="59" w:name="_Toc149973345"/>
      <w:bookmarkStart w:id="60" w:name="_Toc147957917"/>
      <w:bookmarkStart w:id="61" w:name="_Toc20008"/>
      <w:bookmarkStart w:id="62" w:name="_Toc26718931"/>
      <w:bookmarkStart w:id="63" w:name="_Toc147952718"/>
      <w:bookmarkStart w:id="64" w:name="_Toc147958060"/>
      <w:bookmarkStart w:id="65" w:name="_Toc147958246"/>
      <w:r>
        <w:rPr>
          <w:rFonts w:ascii="Times New Roman"/>
        </w:rPr>
        <w:t>规范性引用文件</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sdt>
      <w:sdtPr>
        <w:rPr>
          <w:rFonts w:ascii="Times New Roman"/>
        </w:rPr>
        <w:id w:val="715848253"/>
        <w:placeholder>
          <w:docPart w:val="A4D3A8EAFF0D45A9ABAF3001D5674E5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21102D" w:rsidRDefault="00A766D9">
          <w:pPr>
            <w:pStyle w:val="affffe"/>
            <w:ind w:left="0" w:firstLine="420"/>
            <w:rPr>
              <w:rFonts w:ascii="Times New Roman"/>
            </w:rPr>
          </w:pPr>
          <w:r>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21102D" w:rsidRDefault="00A766D9">
      <w:pPr>
        <w:pStyle w:val="affffe"/>
        <w:ind w:left="0" w:firstLine="420"/>
        <w:rPr>
          <w:rFonts w:ascii="Times New Roman"/>
        </w:rPr>
      </w:pPr>
      <w:r>
        <w:rPr>
          <w:rFonts w:ascii="Times New Roman"/>
        </w:rPr>
        <w:t xml:space="preserve">WS/T 367 </w:t>
      </w:r>
      <w:r>
        <w:rPr>
          <w:rFonts w:ascii="Times New Roman"/>
        </w:rPr>
        <w:t>医疗机构消毒技术规范</w:t>
      </w:r>
    </w:p>
    <w:p w:rsidR="0021102D" w:rsidRDefault="00A766D9">
      <w:pPr>
        <w:pStyle w:val="affffe"/>
        <w:ind w:left="0" w:firstLine="420"/>
        <w:rPr>
          <w:rFonts w:ascii="Times New Roman"/>
          <w:color w:val="FF0000"/>
        </w:rPr>
      </w:pPr>
      <w:r>
        <w:rPr>
          <w:rFonts w:ascii="Times New Roman"/>
        </w:rPr>
        <w:t xml:space="preserve">WS/T 401 </w:t>
      </w:r>
      <w:r>
        <w:rPr>
          <w:rFonts w:ascii="Times New Roman"/>
        </w:rPr>
        <w:t>献血场所配置标准</w:t>
      </w:r>
    </w:p>
    <w:p w:rsidR="0021102D" w:rsidRDefault="00A766D9">
      <w:pPr>
        <w:pStyle w:val="affffe"/>
        <w:ind w:left="0" w:firstLine="420"/>
        <w:rPr>
          <w:rFonts w:ascii="Times New Roman"/>
        </w:rPr>
      </w:pPr>
      <w:r>
        <w:rPr>
          <w:rFonts w:ascii="Times New Roman"/>
        </w:rPr>
        <w:t xml:space="preserve">WS 589 </w:t>
      </w:r>
      <w:r>
        <w:rPr>
          <w:rFonts w:ascii="Times New Roman"/>
        </w:rPr>
        <w:t>病原微生物实验室生物安全标识</w:t>
      </w:r>
    </w:p>
    <w:p w:rsidR="0021102D" w:rsidRDefault="00A766D9">
      <w:pPr>
        <w:pStyle w:val="affffe"/>
        <w:ind w:left="0" w:firstLine="420"/>
        <w:rPr>
          <w:rFonts w:ascii="Times New Roman"/>
        </w:rPr>
      </w:pPr>
      <w:r>
        <w:rPr>
          <w:rFonts w:ascii="Times New Roman"/>
        </w:rPr>
        <w:t xml:space="preserve">WS 595 </w:t>
      </w:r>
      <w:r>
        <w:rPr>
          <w:rFonts w:ascii="Times New Roman"/>
        </w:rPr>
        <w:t>献血相关血管迷走神经反应预防和处置指南</w:t>
      </w:r>
    </w:p>
    <w:p w:rsidR="0021102D" w:rsidRDefault="00A766D9">
      <w:pPr>
        <w:pStyle w:val="affffe"/>
        <w:ind w:left="0" w:firstLine="420"/>
        <w:rPr>
          <w:rFonts w:ascii="Times New Roman"/>
        </w:rPr>
      </w:pPr>
      <w:bookmarkStart w:id="66" w:name="_Hlk147526156"/>
      <w:r>
        <w:rPr>
          <w:rFonts w:ascii="Times New Roman"/>
        </w:rPr>
        <w:t>DB32/T 3546</w:t>
      </w:r>
      <w:bookmarkEnd w:id="66"/>
      <w:r>
        <w:rPr>
          <w:rFonts w:ascii="Times New Roman"/>
        </w:rPr>
        <w:t xml:space="preserve"> </w:t>
      </w:r>
      <w:r>
        <w:rPr>
          <w:rFonts w:ascii="Times New Roman"/>
        </w:rPr>
        <w:t>血站消毒卫生规范</w:t>
      </w:r>
    </w:p>
    <w:p w:rsidR="0021102D" w:rsidRDefault="00A766D9">
      <w:pPr>
        <w:pStyle w:val="affc"/>
        <w:spacing w:before="312" w:after="312"/>
        <w:rPr>
          <w:rFonts w:ascii="Times New Roman"/>
        </w:rPr>
      </w:pPr>
      <w:bookmarkStart w:id="67" w:name="_Toc147958247"/>
      <w:bookmarkStart w:id="68" w:name="_Toc147957918"/>
      <w:bookmarkStart w:id="69" w:name="_Toc149973346"/>
      <w:bookmarkStart w:id="70" w:name="_Toc147952719"/>
      <w:bookmarkStart w:id="71" w:name="_Toc147957743"/>
      <w:bookmarkStart w:id="72" w:name="_Toc147958061"/>
      <w:bookmarkStart w:id="73" w:name="_Toc147957783"/>
      <w:bookmarkStart w:id="74" w:name="_Toc14098"/>
      <w:bookmarkStart w:id="75" w:name="_Toc97191425"/>
      <w:r>
        <w:rPr>
          <w:rFonts w:ascii="Times New Roman"/>
        </w:rPr>
        <w:t>术语和定义</w:t>
      </w:r>
      <w:bookmarkEnd w:id="67"/>
      <w:bookmarkEnd w:id="68"/>
      <w:bookmarkEnd w:id="69"/>
      <w:bookmarkEnd w:id="70"/>
      <w:bookmarkEnd w:id="71"/>
      <w:bookmarkEnd w:id="72"/>
      <w:bookmarkEnd w:id="73"/>
      <w:bookmarkEnd w:id="74"/>
      <w:bookmarkEnd w:id="75"/>
    </w:p>
    <w:bookmarkStart w:id="76" w:name="_Toc26986532" w:displacedByCustomXml="next"/>
    <w:bookmarkEnd w:id="76" w:displacedByCustomXml="next"/>
    <w:sdt>
      <w:sdtPr>
        <w:rPr>
          <w:rFonts w:ascii="Times New Roman"/>
          <w:highlight w:val="yellow"/>
        </w:rPr>
        <w:id w:val="-1909835108"/>
        <w:placeholder>
          <w:docPart w:val="5269EE4FDDBB4FC0A7BF73B180FCBD68"/>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21102D" w:rsidRDefault="00A766D9">
          <w:pPr>
            <w:pStyle w:val="affffe"/>
            <w:ind w:left="0" w:firstLine="420"/>
            <w:rPr>
              <w:rFonts w:ascii="Times New Roman"/>
            </w:rPr>
          </w:pPr>
          <w:r>
            <w:rPr>
              <w:rFonts w:ascii="Times New Roman"/>
            </w:rPr>
            <w:t>WS/T 367</w:t>
          </w:r>
          <w:r>
            <w:rPr>
              <w:rFonts w:ascii="Times New Roman"/>
            </w:rPr>
            <w:t>、</w:t>
          </w:r>
          <w:r>
            <w:rPr>
              <w:rFonts w:ascii="Times New Roman"/>
            </w:rPr>
            <w:t>WS/T 401</w:t>
          </w:r>
          <w:r>
            <w:rPr>
              <w:rFonts w:ascii="Times New Roman"/>
            </w:rPr>
            <w:t>、</w:t>
          </w:r>
          <w:r>
            <w:rPr>
              <w:rFonts w:ascii="Times New Roman"/>
            </w:rPr>
            <w:t>WS 589</w:t>
          </w:r>
          <w:r>
            <w:rPr>
              <w:rFonts w:ascii="Times New Roman"/>
            </w:rPr>
            <w:t>、</w:t>
          </w:r>
          <w:r>
            <w:rPr>
              <w:rFonts w:ascii="Times New Roman"/>
            </w:rPr>
            <w:t>WS 595</w:t>
          </w:r>
          <w:r>
            <w:rPr>
              <w:rFonts w:ascii="Times New Roman"/>
            </w:rPr>
            <w:t>、</w:t>
          </w:r>
          <w:r>
            <w:rPr>
              <w:rFonts w:ascii="Times New Roman"/>
            </w:rPr>
            <w:t xml:space="preserve">DB32/T 3546 </w:t>
          </w:r>
          <w:r>
            <w:rPr>
              <w:rFonts w:ascii="Times New Roman"/>
            </w:rPr>
            <w:t>界定的以及下列术语和定义适用于本文件。</w:t>
          </w:r>
        </w:p>
      </w:sdtContent>
    </w:sdt>
    <w:p w:rsidR="0021102D" w:rsidRDefault="00A766D9">
      <w:pPr>
        <w:pStyle w:val="affffffffffd"/>
        <w:ind w:left="420" w:hangingChars="200" w:hanging="420"/>
        <w:rPr>
          <w:rFonts w:ascii="Times New Roman" w:eastAsia="黑体"/>
        </w:rPr>
      </w:pPr>
      <w:r>
        <w:rPr>
          <w:rFonts w:ascii="Times New Roman" w:eastAsia="黑体"/>
        </w:rPr>
        <w:br/>
      </w:r>
      <w:r>
        <w:rPr>
          <w:rFonts w:ascii="Times New Roman" w:eastAsia="黑体"/>
        </w:rPr>
        <w:t>献血者关爱</w:t>
      </w:r>
      <w:r>
        <w:rPr>
          <w:rFonts w:ascii="Times New Roman" w:eastAsia="黑体"/>
        </w:rPr>
        <w:t xml:space="preserve"> blood donors care</w:t>
      </w:r>
    </w:p>
    <w:p w:rsidR="0021102D" w:rsidRDefault="00A766D9">
      <w:pPr>
        <w:autoSpaceDE w:val="0"/>
        <w:autoSpaceDN w:val="0"/>
        <w:ind w:left="0" w:firstLineChars="200" w:firstLine="420"/>
        <w:jc w:val="both"/>
        <w:rPr>
          <w:rFonts w:ascii="Times New Roman" w:hAnsi="Times New Roman"/>
          <w:kern w:val="0"/>
          <w:szCs w:val="20"/>
        </w:rPr>
      </w:pPr>
      <w:r>
        <w:rPr>
          <w:rFonts w:ascii="Times New Roman" w:hAnsi="Times New Roman"/>
          <w:kern w:val="0"/>
          <w:szCs w:val="20"/>
        </w:rPr>
        <w:t>工作人员给予献血</w:t>
      </w:r>
      <w:r>
        <w:rPr>
          <w:rFonts w:ascii="Times New Roman" w:hAnsi="Times New Roman" w:hint="eastAsia"/>
          <w:kern w:val="0"/>
          <w:szCs w:val="20"/>
        </w:rPr>
        <w:t>者的关心、爱护和心理疏导等行为，</w:t>
      </w:r>
      <w:r>
        <w:rPr>
          <w:rFonts w:ascii="Times New Roman" w:hAnsi="Times New Roman"/>
          <w:kern w:val="0"/>
          <w:szCs w:val="20"/>
        </w:rPr>
        <w:t>保证献血者在安全、卫生、舒适的环境中完成献血</w:t>
      </w:r>
      <w:r>
        <w:rPr>
          <w:rFonts w:ascii="Times New Roman" w:hAnsi="Times New Roman" w:hint="eastAsia"/>
          <w:kern w:val="0"/>
          <w:szCs w:val="20"/>
        </w:rPr>
        <w:t>。</w:t>
      </w:r>
    </w:p>
    <w:p w:rsidR="0021102D" w:rsidRDefault="00A766D9">
      <w:pPr>
        <w:pStyle w:val="affc"/>
        <w:spacing w:before="312" w:after="312"/>
      </w:pPr>
      <w:bookmarkStart w:id="77" w:name="_Toc32263"/>
      <w:bookmarkStart w:id="78" w:name="_Toc147958248"/>
      <w:bookmarkStart w:id="79" w:name="_Toc147957919"/>
      <w:bookmarkStart w:id="80" w:name="_Toc147958062"/>
      <w:bookmarkStart w:id="81" w:name="_Toc147957744"/>
      <w:bookmarkStart w:id="82" w:name="_Toc147957784"/>
      <w:bookmarkStart w:id="83" w:name="_Toc149973347"/>
      <w:r>
        <w:rPr>
          <w:rFonts w:hint="eastAsia"/>
        </w:rPr>
        <w:t>人员</w:t>
      </w:r>
      <w:bookmarkEnd w:id="77"/>
      <w:bookmarkEnd w:id="78"/>
      <w:bookmarkEnd w:id="79"/>
      <w:bookmarkEnd w:id="80"/>
      <w:bookmarkEnd w:id="81"/>
      <w:bookmarkEnd w:id="82"/>
      <w:bookmarkEnd w:id="83"/>
    </w:p>
    <w:p w:rsidR="0021102D" w:rsidRDefault="00A766D9">
      <w:pPr>
        <w:pStyle w:val="affd"/>
        <w:spacing w:before="156" w:after="156"/>
        <w:ind w:left="0"/>
        <w:outlineLvl w:val="9"/>
      </w:pPr>
      <w:r>
        <w:rPr>
          <w:rFonts w:hint="eastAsia"/>
        </w:rPr>
        <w:t>风险</w:t>
      </w:r>
    </w:p>
    <w:p w:rsidR="0021102D" w:rsidRDefault="00A766D9">
      <w:pPr>
        <w:pStyle w:val="affffffffa"/>
        <w:rPr>
          <w:rFonts w:ascii="Times New Roman"/>
        </w:rPr>
      </w:pPr>
      <w:r>
        <w:rPr>
          <w:rFonts w:ascii="Times New Roman"/>
        </w:rPr>
        <w:t>献血现场工作人员数量不足。</w:t>
      </w:r>
    </w:p>
    <w:p w:rsidR="0021102D" w:rsidRDefault="00A766D9">
      <w:pPr>
        <w:pStyle w:val="affffffffa"/>
        <w:rPr>
          <w:rFonts w:ascii="Times New Roman"/>
        </w:rPr>
      </w:pPr>
      <w:r>
        <w:rPr>
          <w:rFonts w:ascii="Times New Roman"/>
        </w:rPr>
        <w:t>工作人员专业、学历、职称、执业资格等相关资质不满足岗位要求。</w:t>
      </w:r>
    </w:p>
    <w:p w:rsidR="0021102D" w:rsidRDefault="00A766D9">
      <w:pPr>
        <w:pStyle w:val="affffffffa"/>
        <w:rPr>
          <w:rFonts w:ascii="Times New Roman"/>
        </w:rPr>
      </w:pPr>
      <w:r>
        <w:rPr>
          <w:rFonts w:ascii="Times New Roman"/>
        </w:rPr>
        <w:t>新进、转岗或轮岗人员上岗前未接受相关培训、培训内容不足、培训考核不合格或未被授权。</w:t>
      </w:r>
    </w:p>
    <w:p w:rsidR="0021102D" w:rsidRDefault="00A766D9">
      <w:pPr>
        <w:pStyle w:val="affffffffa"/>
        <w:rPr>
          <w:rFonts w:ascii="Times New Roman"/>
        </w:rPr>
      </w:pPr>
      <w:r>
        <w:rPr>
          <w:rFonts w:ascii="Times New Roman"/>
        </w:rPr>
        <w:t>工作人员</w:t>
      </w:r>
      <w:r>
        <w:rPr>
          <w:rFonts w:ascii="Times New Roman" w:hint="eastAsia"/>
        </w:rPr>
        <w:t>未</w:t>
      </w:r>
      <w:r>
        <w:rPr>
          <w:rFonts w:ascii="Times New Roman"/>
        </w:rPr>
        <w:t>掌握岗位操作规程</w:t>
      </w:r>
      <w:r>
        <w:rPr>
          <w:rFonts w:ascii="Times New Roman" w:hint="eastAsia"/>
        </w:rPr>
        <w:t>，</w:t>
      </w:r>
      <w:r>
        <w:rPr>
          <w:rFonts w:ascii="Times New Roman"/>
        </w:rPr>
        <w:t>继续教育学时不满足《血站管理办法》</w:t>
      </w:r>
      <w:r>
        <w:rPr>
          <w:rFonts w:ascii="Times New Roman" w:hint="eastAsia"/>
        </w:rPr>
        <w:t>等</w:t>
      </w:r>
      <w:r>
        <w:rPr>
          <w:rFonts w:ascii="Times New Roman"/>
        </w:rPr>
        <w:t>要求</w:t>
      </w:r>
      <w:r>
        <w:rPr>
          <w:rFonts w:ascii="Times New Roman" w:hint="eastAsia"/>
        </w:rPr>
        <w:t>。</w:t>
      </w:r>
    </w:p>
    <w:p w:rsidR="0021102D" w:rsidRDefault="00A766D9">
      <w:pPr>
        <w:pStyle w:val="affffffffa"/>
        <w:rPr>
          <w:rFonts w:ascii="Times New Roman"/>
        </w:rPr>
      </w:pPr>
      <w:r>
        <w:rPr>
          <w:rFonts w:ascii="Times New Roman"/>
        </w:rPr>
        <w:t>工作人员语言表达能力欠缺，不能准确、清晰表达目标信息</w:t>
      </w:r>
      <w:r>
        <w:rPr>
          <w:rFonts w:ascii="Times New Roman" w:hint="eastAsia"/>
        </w:rPr>
        <w:t>。</w:t>
      </w:r>
    </w:p>
    <w:p w:rsidR="0021102D" w:rsidRDefault="00A766D9">
      <w:pPr>
        <w:pStyle w:val="affd"/>
        <w:spacing w:before="156" w:after="156"/>
        <w:ind w:left="0"/>
      </w:pPr>
      <w:r>
        <w:rPr>
          <w:rFonts w:hint="eastAsia"/>
        </w:rPr>
        <w:t>风险控制</w:t>
      </w:r>
    </w:p>
    <w:p w:rsidR="0021102D" w:rsidRDefault="00A766D9">
      <w:pPr>
        <w:pStyle w:val="affffffffa"/>
        <w:rPr>
          <w:rFonts w:ascii="Times New Roman"/>
        </w:rPr>
      </w:pPr>
      <w:r>
        <w:rPr>
          <w:rFonts w:hint="eastAsia"/>
        </w:rPr>
        <w:t>根据献血场所日</w:t>
      </w:r>
      <w:r>
        <w:rPr>
          <w:rFonts w:ascii="Times New Roman"/>
        </w:rPr>
        <w:t>均献血人数配备相应工作人员，人员数量应符合</w:t>
      </w:r>
      <w:r>
        <w:rPr>
          <w:rFonts w:ascii="Times New Roman"/>
        </w:rPr>
        <w:t>WS/T 401</w:t>
      </w:r>
      <w:r>
        <w:rPr>
          <w:rFonts w:ascii="Times New Roman"/>
        </w:rPr>
        <w:t>要求。在献血不良反应易发群体开展献血活动时，应在满足</w:t>
      </w:r>
      <w:r>
        <w:rPr>
          <w:rFonts w:ascii="Times New Roman"/>
        </w:rPr>
        <w:t>WS/T 401</w:t>
      </w:r>
      <w:r>
        <w:rPr>
          <w:rFonts w:ascii="Times New Roman"/>
        </w:rPr>
        <w:t>基础上，增配人员做好献血者关爱工作，预防献血不良反应的发生。</w:t>
      </w:r>
    </w:p>
    <w:p w:rsidR="0021102D" w:rsidRDefault="00A766D9">
      <w:pPr>
        <w:pStyle w:val="affffffffa"/>
        <w:rPr>
          <w:rFonts w:ascii="Times New Roman"/>
        </w:rPr>
      </w:pPr>
      <w:r>
        <w:rPr>
          <w:rFonts w:ascii="Times New Roman"/>
        </w:rPr>
        <w:t>工作人员资质应满足以下岗位要求：</w:t>
      </w:r>
    </w:p>
    <w:p w:rsidR="0021102D" w:rsidRDefault="00A766D9">
      <w:pPr>
        <w:pStyle w:val="af5"/>
      </w:pPr>
      <w:r>
        <w:rPr>
          <w:rFonts w:ascii="Times New Roman"/>
        </w:rPr>
        <w:lastRenderedPageBreak/>
        <w:t>医师应具有大学本科及以上学历，取得执业医师资格并经执业注册，具备初级及</w:t>
      </w:r>
      <w:r>
        <w:rPr>
          <w:rFonts w:hint="eastAsia"/>
        </w:rPr>
        <w:t>以上职称；</w:t>
      </w:r>
    </w:p>
    <w:p w:rsidR="0021102D" w:rsidRDefault="00A766D9">
      <w:pPr>
        <w:pStyle w:val="af5"/>
      </w:pPr>
      <w:r>
        <w:rPr>
          <w:rFonts w:hint="eastAsia"/>
        </w:rPr>
        <w:t>护士应</w:t>
      </w:r>
      <w:r>
        <w:rPr>
          <w:rFonts w:ascii="Times New Roman"/>
        </w:rPr>
        <w:t>具有大学专科及以上学历</w:t>
      </w:r>
      <w:r>
        <w:rPr>
          <w:rFonts w:ascii="Times New Roman" w:hint="eastAsia"/>
        </w:rPr>
        <w:t>，</w:t>
      </w:r>
      <w:r>
        <w:rPr>
          <w:rFonts w:hint="eastAsia"/>
        </w:rPr>
        <w:t>取得执业护士资格</w:t>
      </w:r>
      <w:r>
        <w:rPr>
          <w:rFonts w:ascii="Times New Roman"/>
        </w:rPr>
        <w:t>并经执业注册</w:t>
      </w:r>
      <w:r>
        <w:rPr>
          <w:rFonts w:hint="eastAsia"/>
        </w:rPr>
        <w:t>，具备初级及以上职称；</w:t>
      </w:r>
    </w:p>
    <w:p w:rsidR="0021102D" w:rsidRDefault="00A766D9">
      <w:pPr>
        <w:pStyle w:val="af5"/>
      </w:pPr>
      <w:r>
        <w:rPr>
          <w:rFonts w:hint="eastAsia"/>
        </w:rPr>
        <w:t>其他人员应取得相应岗位资格，具备初级及以上职称；</w:t>
      </w:r>
    </w:p>
    <w:p w:rsidR="0021102D" w:rsidRDefault="00A766D9">
      <w:pPr>
        <w:pStyle w:val="af5"/>
      </w:pPr>
      <w:r>
        <w:rPr>
          <w:rFonts w:ascii="Times New Roman"/>
        </w:rPr>
        <w:t>血液成分单采人员还应取得岗位资质证书。</w:t>
      </w:r>
    </w:p>
    <w:p w:rsidR="0021102D" w:rsidRDefault="00A766D9">
      <w:pPr>
        <w:pStyle w:val="affffffffa"/>
      </w:pPr>
      <w:r>
        <w:rPr>
          <w:rFonts w:ascii="Times New Roman"/>
        </w:rPr>
        <w:t>新进人员应符合《血站质量管理规范》要求。新进、转岗或轮岗人员应按照《江苏省血站新进及转岗人员岗位培训指南》接受拟任岗位职责相关</w:t>
      </w:r>
      <w:r>
        <w:rPr>
          <w:rFonts w:ascii="Times New Roman" w:hint="eastAsia"/>
        </w:rPr>
        <w:t>质量体系文件</w:t>
      </w:r>
      <w:r>
        <w:rPr>
          <w:rFonts w:ascii="Times New Roman"/>
        </w:rPr>
        <w:t>和实践技能的培训</w:t>
      </w:r>
      <w:r>
        <w:rPr>
          <w:rFonts w:ascii="Times New Roman" w:hint="eastAsia"/>
        </w:rPr>
        <w:t>，接受</w:t>
      </w:r>
      <w:r>
        <w:rPr>
          <w:rFonts w:ascii="Times New Roman"/>
        </w:rPr>
        <w:t>职业道德、采供血相关法律法规、安全与卫生、职业防护和签名的法律意义</w:t>
      </w:r>
      <w:r>
        <w:rPr>
          <w:rFonts w:ascii="Times New Roman" w:hint="eastAsia"/>
        </w:rPr>
        <w:t>培训</w:t>
      </w:r>
      <w:r>
        <w:rPr>
          <w:rFonts w:ascii="Times New Roman"/>
        </w:rPr>
        <w:t>，</w:t>
      </w:r>
      <w:r>
        <w:rPr>
          <w:rFonts w:ascii="Times New Roman"/>
          <w:color w:val="000000"/>
        </w:rPr>
        <w:t>岗位考核合格，经授权后方可上岗</w:t>
      </w:r>
      <w:r>
        <w:rPr>
          <w:rFonts w:ascii="Times New Roman"/>
        </w:rPr>
        <w:t>。</w:t>
      </w:r>
    </w:p>
    <w:p w:rsidR="0021102D" w:rsidRDefault="00A766D9">
      <w:pPr>
        <w:pStyle w:val="affffffffa"/>
      </w:pPr>
      <w:r>
        <w:rPr>
          <w:rFonts w:ascii="Times New Roman"/>
        </w:rPr>
        <w:t>按照《血站质量管理规范》要求，</w:t>
      </w:r>
      <w:r>
        <w:rPr>
          <w:rFonts w:hint="eastAsia"/>
        </w:rPr>
        <w:t>制定并执行工作人员的继续教育和培训计划，继续教育学时符合《血站管理办法》等要求，保证工作人员得到持续有效的教育和培训</w:t>
      </w:r>
      <w:r>
        <w:rPr>
          <w:rFonts w:ascii="Calibri" w:hAnsi="Calibri" w:hint="eastAsia"/>
          <w:kern w:val="2"/>
          <w:szCs w:val="21"/>
        </w:rPr>
        <w:t>。</w:t>
      </w:r>
    </w:p>
    <w:p w:rsidR="0021102D" w:rsidRDefault="00A766D9">
      <w:pPr>
        <w:pStyle w:val="affffffffa"/>
      </w:pPr>
      <w:r>
        <w:rPr>
          <w:rFonts w:ascii="Times New Roman" w:hint="eastAsia"/>
        </w:rPr>
        <w:t>献血不良反应预防和处置</w:t>
      </w:r>
      <w:r>
        <w:rPr>
          <w:rFonts w:ascii="Times New Roman"/>
        </w:rPr>
        <w:t>人员</w:t>
      </w:r>
      <w:r>
        <w:rPr>
          <w:rFonts w:ascii="Times New Roman" w:hint="eastAsia"/>
        </w:rPr>
        <w:t>应</w:t>
      </w:r>
      <w:r>
        <w:rPr>
          <w:rFonts w:hint="eastAsia"/>
        </w:rPr>
        <w:t>具备良好的交流与沟通能力，</w:t>
      </w:r>
      <w:r>
        <w:rPr>
          <w:rFonts w:ascii="Times New Roman"/>
        </w:rPr>
        <w:t>宜运用简明、易懂的语言与献血者进行有效沟通</w:t>
      </w:r>
      <w:r>
        <w:rPr>
          <w:rFonts w:ascii="Times New Roman" w:hint="eastAsia"/>
        </w:rPr>
        <w:t>或</w:t>
      </w:r>
      <w:r>
        <w:rPr>
          <w:rFonts w:hint="eastAsia"/>
        </w:rPr>
        <w:t>心理疏导，能及时发现并处置献血不良反应。</w:t>
      </w:r>
    </w:p>
    <w:p w:rsidR="0021102D" w:rsidRDefault="00A766D9">
      <w:pPr>
        <w:pStyle w:val="affc"/>
        <w:spacing w:before="312" w:after="312"/>
      </w:pPr>
      <w:bookmarkStart w:id="84" w:name="_Toc147958249"/>
      <w:bookmarkStart w:id="85" w:name="_Toc147958063"/>
      <w:bookmarkStart w:id="86" w:name="_Toc11001"/>
      <w:bookmarkStart w:id="87" w:name="_Toc147957785"/>
      <w:bookmarkStart w:id="88" w:name="_Toc149973348"/>
      <w:bookmarkStart w:id="89" w:name="_Toc147957745"/>
      <w:bookmarkStart w:id="90" w:name="_Toc147957920"/>
      <w:r>
        <w:rPr>
          <w:rFonts w:hint="eastAsia"/>
        </w:rPr>
        <w:t>关键设备</w:t>
      </w:r>
      <w:bookmarkEnd w:id="84"/>
      <w:bookmarkEnd w:id="85"/>
      <w:bookmarkEnd w:id="86"/>
      <w:bookmarkEnd w:id="87"/>
      <w:bookmarkEnd w:id="88"/>
      <w:bookmarkEnd w:id="89"/>
      <w:bookmarkEnd w:id="90"/>
    </w:p>
    <w:p w:rsidR="0021102D" w:rsidRDefault="00A766D9">
      <w:pPr>
        <w:pStyle w:val="affd"/>
        <w:spacing w:before="156" w:after="156"/>
        <w:ind w:left="0"/>
      </w:pPr>
      <w:r>
        <w:rPr>
          <w:rFonts w:hint="eastAsia"/>
        </w:rPr>
        <w:t>风险</w:t>
      </w:r>
    </w:p>
    <w:p w:rsidR="0021102D" w:rsidRDefault="00A766D9">
      <w:pPr>
        <w:pStyle w:val="affffffffa"/>
      </w:pPr>
      <w:r>
        <w:rPr>
          <w:rFonts w:hint="eastAsia"/>
        </w:rPr>
        <w:t>设备配置不能满足献血不良反应预防和处置工作需要。</w:t>
      </w:r>
    </w:p>
    <w:p w:rsidR="0021102D" w:rsidRDefault="00A766D9">
      <w:pPr>
        <w:pStyle w:val="affffffffa"/>
        <w:rPr>
          <w:rFonts w:ascii="Times New Roman"/>
        </w:rPr>
      </w:pPr>
      <w:r>
        <w:rPr>
          <w:rFonts w:ascii="Times New Roman"/>
        </w:rPr>
        <w:t>设备未经过正确的验收、确认、维护、校准、使用</w:t>
      </w:r>
      <w:r>
        <w:rPr>
          <w:rFonts w:ascii="Times New Roman" w:hint="eastAsia"/>
        </w:rPr>
        <w:t>和</w:t>
      </w:r>
      <w:r>
        <w:rPr>
          <w:rFonts w:ascii="Times New Roman"/>
        </w:rPr>
        <w:t>监控。</w:t>
      </w:r>
    </w:p>
    <w:p w:rsidR="0021102D" w:rsidRDefault="00A766D9">
      <w:pPr>
        <w:pStyle w:val="affffffffa"/>
        <w:rPr>
          <w:rFonts w:ascii="Times New Roman"/>
        </w:rPr>
      </w:pPr>
      <w:r>
        <w:rPr>
          <w:rFonts w:ascii="Times New Roman"/>
        </w:rPr>
        <w:t>设备搬运</w:t>
      </w:r>
      <w:proofErr w:type="gramStart"/>
      <w:r>
        <w:rPr>
          <w:rFonts w:ascii="Times New Roman"/>
        </w:rPr>
        <w:t>至临时</w:t>
      </w:r>
      <w:proofErr w:type="gramEnd"/>
      <w:r>
        <w:rPr>
          <w:rFonts w:ascii="Times New Roman"/>
        </w:rPr>
        <w:t>献血场所时无法正常运行。</w:t>
      </w:r>
    </w:p>
    <w:p w:rsidR="0021102D" w:rsidRDefault="00A766D9">
      <w:pPr>
        <w:pStyle w:val="affffffffa"/>
        <w:rPr>
          <w:rFonts w:ascii="Times New Roman"/>
        </w:rPr>
      </w:pPr>
      <w:r>
        <w:rPr>
          <w:rFonts w:ascii="Times New Roman"/>
        </w:rPr>
        <w:t>设备标识缺失</w:t>
      </w:r>
      <w:r>
        <w:rPr>
          <w:rFonts w:hint="eastAsia"/>
        </w:rPr>
        <w:t>或未正确标识</w:t>
      </w:r>
      <w:r>
        <w:rPr>
          <w:rFonts w:ascii="Times New Roman"/>
        </w:rPr>
        <w:t>。</w:t>
      </w:r>
    </w:p>
    <w:p w:rsidR="0021102D" w:rsidRDefault="00A766D9">
      <w:pPr>
        <w:pStyle w:val="affffffffa"/>
        <w:rPr>
          <w:rFonts w:ascii="Times New Roman"/>
        </w:rPr>
      </w:pPr>
      <w:r>
        <w:rPr>
          <w:rFonts w:ascii="Times New Roman"/>
        </w:rPr>
        <w:t>设备工作状态异常，设备超出使用年限</w:t>
      </w:r>
      <w:r>
        <w:rPr>
          <w:rFonts w:ascii="Times New Roman" w:hint="eastAsia"/>
        </w:rPr>
        <w:t>，</w:t>
      </w:r>
      <w:r>
        <w:rPr>
          <w:rFonts w:ascii="Times New Roman"/>
        </w:rPr>
        <w:t>电源短路、漏电等未被及时发现并处理。</w:t>
      </w:r>
    </w:p>
    <w:p w:rsidR="0021102D" w:rsidRDefault="00A766D9">
      <w:pPr>
        <w:pStyle w:val="affffffffa"/>
        <w:rPr>
          <w:rFonts w:ascii="Times New Roman"/>
        </w:rPr>
      </w:pPr>
      <w:r>
        <w:rPr>
          <w:rFonts w:ascii="Times New Roman"/>
        </w:rPr>
        <w:t>设备使用、维护、维修等过程中对人员、环境造成的化学、物理、生物伤害等，包括设备被污染未能及时发现并处理。</w:t>
      </w:r>
    </w:p>
    <w:p w:rsidR="0021102D" w:rsidRDefault="00A766D9">
      <w:pPr>
        <w:pStyle w:val="affffffffa"/>
        <w:rPr>
          <w:rFonts w:ascii="Times New Roman"/>
        </w:rPr>
      </w:pPr>
      <w:r>
        <w:rPr>
          <w:rFonts w:ascii="Times New Roman"/>
        </w:rPr>
        <w:t>未按照说明书操作</w:t>
      </w:r>
      <w:r>
        <w:rPr>
          <w:rFonts w:ascii="Times New Roman" w:hint="eastAsia"/>
        </w:rPr>
        <w:t>设备</w:t>
      </w:r>
      <w:r>
        <w:rPr>
          <w:rFonts w:ascii="Times New Roman"/>
        </w:rPr>
        <w:t>。</w:t>
      </w:r>
    </w:p>
    <w:p w:rsidR="0021102D" w:rsidRDefault="00A766D9">
      <w:pPr>
        <w:pStyle w:val="affffffffa"/>
        <w:rPr>
          <w:rFonts w:ascii="Times New Roman"/>
        </w:rPr>
      </w:pPr>
      <w:r>
        <w:rPr>
          <w:rFonts w:ascii="Times New Roman"/>
        </w:rPr>
        <w:t>设备不能满足突发事件</w:t>
      </w:r>
      <w:r>
        <w:rPr>
          <w:rFonts w:ascii="Times New Roman" w:hint="eastAsia"/>
        </w:rPr>
        <w:t>的应急需求</w:t>
      </w:r>
      <w:r>
        <w:rPr>
          <w:rFonts w:ascii="Times New Roman"/>
        </w:rPr>
        <w:t>。</w:t>
      </w:r>
    </w:p>
    <w:p w:rsidR="0021102D" w:rsidRDefault="00A766D9">
      <w:pPr>
        <w:pStyle w:val="affd"/>
        <w:spacing w:before="156" w:after="156"/>
        <w:ind w:left="0"/>
      </w:pPr>
      <w:r>
        <w:rPr>
          <w:rFonts w:hint="eastAsia"/>
        </w:rPr>
        <w:t>风险控制</w:t>
      </w:r>
    </w:p>
    <w:p w:rsidR="0021102D" w:rsidRDefault="00A766D9">
      <w:pPr>
        <w:pStyle w:val="affffffffa"/>
      </w:pPr>
      <w:r>
        <w:rPr>
          <w:rFonts w:hint="eastAsia"/>
        </w:rPr>
        <w:t>设备配置应满足献血不良反应预防和处置工作需要，包括：</w:t>
      </w:r>
    </w:p>
    <w:p w:rsidR="0021102D" w:rsidRDefault="00A766D9">
      <w:pPr>
        <w:pStyle w:val="af5"/>
        <w:numPr>
          <w:ilvl w:val="0"/>
          <w:numId w:val="32"/>
        </w:numPr>
      </w:pPr>
      <w:r>
        <w:rPr>
          <w:rFonts w:hint="eastAsia"/>
        </w:rPr>
        <w:t>应配备的设备：血压计、体重秤、体温计、全自动血细胞分析仪（单采场所）、献血反应观察床等；</w:t>
      </w:r>
    </w:p>
    <w:p w:rsidR="0021102D" w:rsidRDefault="00A766D9">
      <w:pPr>
        <w:pStyle w:val="af5"/>
      </w:pPr>
      <w:r>
        <w:rPr>
          <w:rFonts w:hint="eastAsia"/>
        </w:rPr>
        <w:t>宜配备的设备：听诊器、身高测量仪、血红蛋白定量检测仪等。</w:t>
      </w:r>
    </w:p>
    <w:p w:rsidR="0021102D" w:rsidRDefault="00A766D9">
      <w:pPr>
        <w:pStyle w:val="affffffffa"/>
      </w:pPr>
      <w:r>
        <w:rPr>
          <w:rFonts w:hint="eastAsia"/>
        </w:rPr>
        <w:t>建立和实施关键设备的验收、确认、维护、校准、使用和监控程序，保证设备符合预期使用要求，控制措施如下：</w:t>
      </w:r>
    </w:p>
    <w:p w:rsidR="0021102D" w:rsidRDefault="00A766D9">
      <w:pPr>
        <w:pStyle w:val="af5"/>
        <w:numPr>
          <w:ilvl w:val="0"/>
          <w:numId w:val="33"/>
        </w:numPr>
      </w:pPr>
      <w:r>
        <w:rPr>
          <w:rFonts w:hint="eastAsia"/>
        </w:rPr>
        <w:t>参照设备使用说明书编写操作规程，工作人员应严格按照操作规程使用设备；</w:t>
      </w:r>
    </w:p>
    <w:p w:rsidR="0021102D" w:rsidRDefault="00A766D9">
      <w:pPr>
        <w:pStyle w:val="af5"/>
        <w:numPr>
          <w:ilvl w:val="0"/>
          <w:numId w:val="33"/>
        </w:numPr>
      </w:pPr>
      <w:r>
        <w:rPr>
          <w:rFonts w:hint="eastAsia"/>
        </w:rPr>
        <w:t>应确保环境温度、湿度符合设备使用要求；</w:t>
      </w:r>
    </w:p>
    <w:p w:rsidR="0021102D" w:rsidRDefault="00A766D9">
      <w:pPr>
        <w:pStyle w:val="af5"/>
        <w:rPr>
          <w:rFonts w:ascii="Times New Roman"/>
        </w:rPr>
      </w:pPr>
      <w:r>
        <w:rPr>
          <w:rFonts w:hint="eastAsia"/>
        </w:rPr>
        <w:t>关键设备应明确维护</w:t>
      </w:r>
      <w:r>
        <w:rPr>
          <w:rFonts w:ascii="Times New Roman"/>
        </w:rPr>
        <w:t>、检定</w:t>
      </w:r>
      <w:r>
        <w:rPr>
          <w:rFonts w:ascii="Times New Roman"/>
        </w:rPr>
        <w:t>/</w:t>
      </w:r>
      <w:r>
        <w:rPr>
          <w:rFonts w:ascii="Times New Roman"/>
        </w:rPr>
        <w:t>校准周期，并按期实施；</w:t>
      </w:r>
    </w:p>
    <w:p w:rsidR="0021102D" w:rsidRDefault="00A766D9">
      <w:pPr>
        <w:pStyle w:val="af5"/>
        <w:rPr>
          <w:rFonts w:ascii="Times New Roman"/>
        </w:rPr>
      </w:pPr>
      <w:r>
        <w:rPr>
          <w:rFonts w:ascii="Times New Roman"/>
        </w:rPr>
        <w:t>使用期间应加强巡视巡查，发现异常及时处理并记录；</w:t>
      </w:r>
    </w:p>
    <w:p w:rsidR="0021102D" w:rsidRDefault="00A766D9">
      <w:pPr>
        <w:pStyle w:val="af5"/>
        <w:rPr>
          <w:rFonts w:ascii="Times New Roman"/>
        </w:rPr>
      </w:pPr>
      <w:r>
        <w:rPr>
          <w:rFonts w:ascii="Times New Roman"/>
        </w:rPr>
        <w:t>血细胞分离机等关键设备应配备不间断电力供应</w:t>
      </w:r>
      <w:r>
        <w:rPr>
          <w:rFonts w:ascii="Times New Roman"/>
        </w:rPr>
        <w:t>(UPS)</w:t>
      </w:r>
      <w:r>
        <w:rPr>
          <w:rFonts w:ascii="Times New Roman"/>
        </w:rPr>
        <w:t>，全自动血细胞分析仪应进行常规的室内质量控制。</w:t>
      </w:r>
    </w:p>
    <w:p w:rsidR="0021102D" w:rsidRDefault="00A766D9">
      <w:pPr>
        <w:pStyle w:val="affffffffa"/>
        <w:rPr>
          <w:rFonts w:ascii="Times New Roman"/>
        </w:rPr>
      </w:pPr>
      <w:r>
        <w:rPr>
          <w:rFonts w:ascii="Times New Roman"/>
        </w:rPr>
        <w:t>新设备投入使用前应进行确认，确认过程参照本标准第</w:t>
      </w:r>
      <w:r>
        <w:rPr>
          <w:rFonts w:ascii="Times New Roman"/>
        </w:rPr>
        <w:t>6</w:t>
      </w:r>
      <w:r>
        <w:rPr>
          <w:rFonts w:ascii="Times New Roman"/>
        </w:rPr>
        <w:t>部分《质量管理与确认风险控制规范》。设备</w:t>
      </w:r>
      <w:proofErr w:type="gramStart"/>
      <w:r>
        <w:rPr>
          <w:rFonts w:ascii="Times New Roman"/>
        </w:rPr>
        <w:t>经重大</w:t>
      </w:r>
      <w:proofErr w:type="gramEnd"/>
      <w:r>
        <w:rPr>
          <w:rFonts w:ascii="Times New Roman"/>
        </w:rPr>
        <w:t>维修、大型维护或搬迁后，在重新使用前，应进行再确认。便携式设备移动后，应保证其符合预期使用要求。</w:t>
      </w:r>
    </w:p>
    <w:p w:rsidR="0021102D" w:rsidRDefault="00A766D9">
      <w:pPr>
        <w:pStyle w:val="affffffffa"/>
        <w:rPr>
          <w:rFonts w:ascii="Times New Roman"/>
        </w:rPr>
      </w:pPr>
      <w:r>
        <w:rPr>
          <w:rFonts w:ascii="Times New Roman"/>
        </w:rPr>
        <w:t>关键设备应以唯一性标识标记，清楚标识设</w:t>
      </w:r>
      <w:r>
        <w:rPr>
          <w:rFonts w:ascii="Times New Roman" w:hint="eastAsia"/>
        </w:rPr>
        <w:t>备</w:t>
      </w:r>
      <w:r>
        <w:rPr>
          <w:rFonts w:ascii="Times New Roman"/>
        </w:rPr>
        <w:t>运行状态，故障或停用设备应有明显的标识，以</w:t>
      </w:r>
      <w:r>
        <w:rPr>
          <w:rFonts w:ascii="Times New Roman"/>
        </w:rPr>
        <w:lastRenderedPageBreak/>
        <w:t>防误用，设备状态标识参照</w:t>
      </w:r>
      <w:r>
        <w:rPr>
          <w:rFonts w:ascii="Times New Roman"/>
        </w:rPr>
        <w:t>WS 589</w:t>
      </w:r>
      <w:r>
        <w:rPr>
          <w:rFonts w:ascii="Times New Roman"/>
        </w:rPr>
        <w:t>。检定</w:t>
      </w:r>
      <w:r>
        <w:rPr>
          <w:rFonts w:ascii="Times New Roman"/>
        </w:rPr>
        <w:t>/</w:t>
      </w:r>
      <w:r>
        <w:rPr>
          <w:rFonts w:ascii="Times New Roman"/>
        </w:rPr>
        <w:t>校准的设备应在显见位置上标示检定</w:t>
      </w:r>
      <w:r>
        <w:rPr>
          <w:rFonts w:ascii="Times New Roman"/>
        </w:rPr>
        <w:t>/</w:t>
      </w:r>
      <w:r>
        <w:rPr>
          <w:rFonts w:ascii="Times New Roman"/>
        </w:rPr>
        <w:t>校准的状态和有效期。</w:t>
      </w:r>
    </w:p>
    <w:p w:rsidR="0021102D" w:rsidRDefault="00A766D9">
      <w:pPr>
        <w:pStyle w:val="affffffffa"/>
        <w:rPr>
          <w:rFonts w:ascii="Times New Roman"/>
        </w:rPr>
      </w:pPr>
      <w:r>
        <w:rPr>
          <w:rFonts w:ascii="Times New Roman"/>
        </w:rPr>
        <w:t>关键设备使用期间应定期巡检，检查设备运行状态、性能状态和用电安全等，发现异常及时处置。</w:t>
      </w:r>
    </w:p>
    <w:p w:rsidR="0021102D" w:rsidRDefault="00A766D9">
      <w:pPr>
        <w:pStyle w:val="affffffffa"/>
        <w:rPr>
          <w:rFonts w:ascii="Times New Roman"/>
        </w:rPr>
      </w:pPr>
      <w:r>
        <w:rPr>
          <w:rFonts w:ascii="Times New Roman"/>
        </w:rPr>
        <w:t>保持设备卫生、整洁，符合生物安全管理要求。设备被污染时，应及时按</w:t>
      </w:r>
      <w:r>
        <w:rPr>
          <w:rFonts w:ascii="Times New Roman"/>
        </w:rPr>
        <w:t>DB32/T 3546</w:t>
      </w:r>
      <w:r>
        <w:rPr>
          <w:rFonts w:ascii="Times New Roman"/>
        </w:rPr>
        <w:t>等相关消毒标准进行清洁消毒。</w:t>
      </w:r>
    </w:p>
    <w:p w:rsidR="0021102D" w:rsidRDefault="00A766D9">
      <w:pPr>
        <w:pStyle w:val="affffffffa"/>
        <w:rPr>
          <w:rFonts w:ascii="Times New Roman"/>
        </w:rPr>
      </w:pPr>
      <w:r>
        <w:rPr>
          <w:rFonts w:ascii="Times New Roman"/>
        </w:rPr>
        <w:t>关键设备使用人员应经培训合格后方可上岗。</w:t>
      </w:r>
    </w:p>
    <w:p w:rsidR="0021102D" w:rsidRDefault="00A766D9">
      <w:pPr>
        <w:pStyle w:val="affffffffa"/>
        <w:rPr>
          <w:rFonts w:ascii="Times New Roman"/>
        </w:rPr>
      </w:pPr>
      <w:r>
        <w:rPr>
          <w:rFonts w:ascii="Times New Roman"/>
        </w:rPr>
        <w:t>制定关键设备发生故障时的应急预案，并定期演练。应急备用设备的管理应与常规设备相同。</w:t>
      </w:r>
    </w:p>
    <w:p w:rsidR="0021102D" w:rsidRDefault="00A766D9">
      <w:pPr>
        <w:pStyle w:val="affc"/>
        <w:spacing w:before="312" w:after="312"/>
      </w:pPr>
      <w:bookmarkStart w:id="91" w:name="_Toc147957786"/>
      <w:bookmarkStart w:id="92" w:name="_Toc147958064"/>
      <w:bookmarkStart w:id="93" w:name="_Toc147957921"/>
      <w:bookmarkStart w:id="94" w:name="_Toc147958250"/>
      <w:bookmarkStart w:id="95" w:name="_Toc149973349"/>
      <w:bookmarkStart w:id="96" w:name="_Toc18914"/>
      <w:bookmarkStart w:id="97" w:name="_Toc147957746"/>
      <w:r>
        <w:rPr>
          <w:rFonts w:hint="eastAsia"/>
        </w:rPr>
        <w:t>关键物料</w:t>
      </w:r>
      <w:bookmarkEnd w:id="91"/>
      <w:bookmarkEnd w:id="92"/>
      <w:bookmarkEnd w:id="93"/>
      <w:bookmarkEnd w:id="94"/>
      <w:bookmarkEnd w:id="95"/>
      <w:bookmarkEnd w:id="96"/>
      <w:bookmarkEnd w:id="97"/>
    </w:p>
    <w:p w:rsidR="0021102D" w:rsidRDefault="00A766D9">
      <w:pPr>
        <w:pStyle w:val="affd"/>
        <w:spacing w:before="156" w:after="156"/>
        <w:ind w:left="0"/>
      </w:pPr>
      <w:r>
        <w:rPr>
          <w:rFonts w:hint="eastAsia"/>
        </w:rPr>
        <w:t>风险</w:t>
      </w:r>
    </w:p>
    <w:p w:rsidR="0021102D" w:rsidRDefault="00A766D9">
      <w:pPr>
        <w:pStyle w:val="affffffffa"/>
      </w:pPr>
      <w:r>
        <w:rPr>
          <w:rFonts w:hint="eastAsia"/>
        </w:rPr>
        <w:t>献血现场献血不良反应处置药品及其他物料的品种和数量不满足使用需求。</w:t>
      </w:r>
    </w:p>
    <w:p w:rsidR="0021102D" w:rsidRDefault="00A766D9">
      <w:pPr>
        <w:pStyle w:val="affffffffa"/>
      </w:pPr>
      <w:r>
        <w:rPr>
          <w:rFonts w:hint="eastAsia"/>
        </w:rPr>
        <w:t>关键物料质量不符合国家相关要求和血站使用需求。</w:t>
      </w:r>
    </w:p>
    <w:p w:rsidR="0021102D" w:rsidRDefault="00A766D9">
      <w:pPr>
        <w:pStyle w:val="affffffffa"/>
      </w:pPr>
      <w:r>
        <w:rPr>
          <w:rFonts w:hint="eastAsia"/>
        </w:rPr>
        <w:t>关键物料未经确认或确认不合格被误放行使用。</w:t>
      </w:r>
    </w:p>
    <w:p w:rsidR="0021102D" w:rsidRDefault="00A766D9">
      <w:pPr>
        <w:pStyle w:val="affffffffa"/>
      </w:pPr>
      <w:r>
        <w:rPr>
          <w:rFonts w:hint="eastAsia"/>
        </w:rPr>
        <w:t>未按说明书要求使用关键物料。</w:t>
      </w:r>
    </w:p>
    <w:p w:rsidR="0021102D" w:rsidRDefault="00A766D9">
      <w:pPr>
        <w:pStyle w:val="affffffffa"/>
      </w:pPr>
      <w:r>
        <w:rPr>
          <w:rFonts w:hint="eastAsia"/>
        </w:rPr>
        <w:t>关键物料储存不当，使用过期或失效的关键物料。</w:t>
      </w:r>
    </w:p>
    <w:p w:rsidR="0021102D" w:rsidRDefault="00A766D9">
      <w:pPr>
        <w:pStyle w:val="affffffffa"/>
      </w:pPr>
      <w:r>
        <w:rPr>
          <w:rFonts w:hint="eastAsia"/>
        </w:rPr>
        <w:t>易燃、易爆、腐蚀、有毒等物料使用及储存风险。</w:t>
      </w:r>
    </w:p>
    <w:p w:rsidR="0021102D" w:rsidRDefault="00A766D9">
      <w:pPr>
        <w:pStyle w:val="affffffffa"/>
      </w:pPr>
      <w:r>
        <w:rPr>
          <w:rFonts w:hint="eastAsia"/>
        </w:rPr>
        <w:t>关键物料供应不能满足突发事件的应急需求。</w:t>
      </w:r>
    </w:p>
    <w:p w:rsidR="0021102D" w:rsidRDefault="00A766D9">
      <w:pPr>
        <w:pStyle w:val="affd"/>
        <w:spacing w:before="156" w:after="156"/>
        <w:ind w:leftChars="-1" w:left="-2"/>
      </w:pPr>
      <w:r>
        <w:rPr>
          <w:rFonts w:hint="eastAsia"/>
        </w:rPr>
        <w:t>风险控制</w:t>
      </w:r>
    </w:p>
    <w:p w:rsidR="0021102D" w:rsidRDefault="00A766D9">
      <w:pPr>
        <w:pStyle w:val="affffffffa"/>
      </w:pPr>
      <w:r>
        <w:rPr>
          <w:rFonts w:hint="eastAsia"/>
        </w:rPr>
        <w:t>制定关键物料清单，将处理献血不良反应的药品及物品列入关键物料管理，献血现场配备数量适宜的关键物料并定期监控，预防和处理献血不良反应配备的物料建议如下：</w:t>
      </w:r>
    </w:p>
    <w:p w:rsidR="0021102D" w:rsidRDefault="00A766D9">
      <w:pPr>
        <w:pStyle w:val="af5"/>
        <w:numPr>
          <w:ilvl w:val="0"/>
          <w:numId w:val="34"/>
        </w:numPr>
      </w:pPr>
      <w:r>
        <w:rPr>
          <w:rFonts w:hint="eastAsia"/>
        </w:rPr>
        <w:t>生理盐水、葡萄糖酸钙口服液、医用纱布片、压舌板、绷带、冰块、便携式医用氧气装置和相关检测试剂等；</w:t>
      </w:r>
    </w:p>
    <w:p w:rsidR="0021102D" w:rsidRDefault="00A766D9">
      <w:pPr>
        <w:pStyle w:val="af5"/>
      </w:pPr>
      <w:r>
        <w:rPr>
          <w:rFonts w:hint="eastAsia"/>
        </w:rPr>
        <w:t>饮用水或含盐液体、食品等。</w:t>
      </w:r>
    </w:p>
    <w:p w:rsidR="0021102D" w:rsidRDefault="00A766D9">
      <w:pPr>
        <w:pStyle w:val="affffffffa"/>
      </w:pPr>
      <w:r>
        <w:rPr>
          <w:rFonts w:hint="eastAsia"/>
        </w:rPr>
        <w:t>建立并实施关键物料管理程序，对物料采购、验收、储存、发放和使用进行管理，每年至少一次对生产商和供应商资质进行评审，由授权人负责关键物料的放行，保证只有合格物料才能投入使用。</w:t>
      </w:r>
    </w:p>
    <w:p w:rsidR="0021102D" w:rsidRDefault="00A766D9">
      <w:pPr>
        <w:pStyle w:val="affffffffa"/>
      </w:pPr>
      <w:r>
        <w:t>建立和实施关键物料确认程序</w:t>
      </w:r>
      <w:r>
        <w:rPr>
          <w:rFonts w:hint="eastAsia"/>
        </w:rPr>
        <w:t>，采取以下控制措施：</w:t>
      </w:r>
    </w:p>
    <w:p w:rsidR="0021102D" w:rsidRDefault="00A766D9">
      <w:pPr>
        <w:pStyle w:val="af5"/>
        <w:numPr>
          <w:ilvl w:val="0"/>
          <w:numId w:val="35"/>
        </w:numPr>
      </w:pPr>
      <w:r>
        <w:rPr>
          <w:rFonts w:hint="eastAsia"/>
        </w:rPr>
        <w:t>新的或者有变化的关键物料，应经确认合格后使用；</w:t>
      </w:r>
    </w:p>
    <w:p w:rsidR="0021102D" w:rsidRDefault="00A766D9">
      <w:pPr>
        <w:pStyle w:val="af5"/>
        <w:numPr>
          <w:ilvl w:val="0"/>
          <w:numId w:val="35"/>
        </w:numPr>
      </w:pPr>
      <w:r>
        <w:rPr>
          <w:rFonts w:hint="eastAsia"/>
        </w:rPr>
        <w:t>建立关键物料验收放行程序，明确抽检方式、抽样频率和质量标准；</w:t>
      </w:r>
    </w:p>
    <w:p w:rsidR="0021102D" w:rsidRDefault="00A766D9">
      <w:pPr>
        <w:pStyle w:val="af5"/>
      </w:pPr>
      <w:r>
        <w:rPr>
          <w:rFonts w:hint="eastAsia"/>
        </w:rPr>
        <w:t>献血现场工作人员加强关键物料使用前检查，使用过程监控，对不合格物料及时标识、隔离、处置和报告。</w:t>
      </w:r>
    </w:p>
    <w:p w:rsidR="0021102D" w:rsidRDefault="00A766D9">
      <w:pPr>
        <w:pStyle w:val="affffffffa"/>
      </w:pPr>
      <w:r>
        <w:rPr>
          <w:rFonts w:hint="eastAsia"/>
        </w:rPr>
        <w:t>按产品说明要求规范使用关键物料。非一次性使用关键物料应按相关规定标识开启时间和失效时间，防止过期使用。</w:t>
      </w:r>
    </w:p>
    <w:p w:rsidR="0021102D" w:rsidRDefault="00A766D9">
      <w:pPr>
        <w:pStyle w:val="affffffffa"/>
      </w:pPr>
      <w:r>
        <w:rPr>
          <w:rFonts w:hint="eastAsia"/>
        </w:rPr>
        <w:t>关键物料的储存应符合国家相关标准或生产商说明书要求，对储存条件和献血场所的库存量保持有效持续监控，具体措施如下：</w:t>
      </w:r>
    </w:p>
    <w:p w:rsidR="0021102D" w:rsidRDefault="00A766D9">
      <w:pPr>
        <w:pStyle w:val="af5"/>
        <w:numPr>
          <w:ilvl w:val="0"/>
          <w:numId w:val="36"/>
        </w:numPr>
      </w:pPr>
      <w:r>
        <w:rPr>
          <w:rFonts w:hint="eastAsia"/>
        </w:rPr>
        <w:t>物料库房应有控制温湿度的设施，对温湿度或其他有特殊要求的物料应按规定条件储存；</w:t>
      </w:r>
    </w:p>
    <w:p w:rsidR="0021102D" w:rsidRDefault="00A766D9">
      <w:pPr>
        <w:pStyle w:val="af5"/>
      </w:pPr>
      <w:r>
        <w:rPr>
          <w:rFonts w:hint="eastAsia"/>
        </w:rPr>
        <w:t>定期盘点献血场所的关键物料，记录关键物料出入库和使用情况；</w:t>
      </w:r>
    </w:p>
    <w:p w:rsidR="0021102D" w:rsidRDefault="00A766D9">
      <w:pPr>
        <w:pStyle w:val="af5"/>
      </w:pPr>
      <w:r>
        <w:rPr>
          <w:rFonts w:hint="eastAsia"/>
        </w:rPr>
        <w:t>遵循“先进先出，按批使用”的原则使用物料。</w:t>
      </w:r>
    </w:p>
    <w:p w:rsidR="0021102D" w:rsidRDefault="00A766D9">
      <w:pPr>
        <w:pStyle w:val="affffffffa"/>
      </w:pPr>
      <w:r>
        <w:rPr>
          <w:rFonts w:hint="eastAsia"/>
        </w:rPr>
        <w:t>制定并实施危险品管理制度，安全储存，并有专人负责管理。</w:t>
      </w:r>
    </w:p>
    <w:p w:rsidR="0021102D" w:rsidRDefault="00A766D9">
      <w:pPr>
        <w:pStyle w:val="affffffffa"/>
      </w:pPr>
      <w:r>
        <w:rPr>
          <w:rFonts w:hint="eastAsia"/>
        </w:rPr>
        <w:t>每个品种、规格的关键物料生产商或供</w:t>
      </w:r>
      <w:r>
        <w:rPr>
          <w:rFonts w:ascii="Times New Roman"/>
        </w:rPr>
        <w:t>应商不少于</w:t>
      </w:r>
      <w:r>
        <w:rPr>
          <w:rFonts w:ascii="Times New Roman"/>
        </w:rPr>
        <w:t>2</w:t>
      </w:r>
      <w:r>
        <w:rPr>
          <w:rFonts w:ascii="Times New Roman"/>
        </w:rPr>
        <w:t>家。</w:t>
      </w:r>
    </w:p>
    <w:p w:rsidR="0021102D" w:rsidRDefault="00A766D9">
      <w:pPr>
        <w:pStyle w:val="affc"/>
        <w:spacing w:before="312" w:after="312"/>
      </w:pPr>
      <w:bookmarkStart w:id="98" w:name="_Toc147958251"/>
      <w:bookmarkStart w:id="99" w:name="_Toc147958065"/>
      <w:bookmarkStart w:id="100" w:name="_Toc147957747"/>
      <w:bookmarkStart w:id="101" w:name="_Toc147957922"/>
      <w:bookmarkStart w:id="102" w:name="_Toc149973350"/>
      <w:bookmarkStart w:id="103" w:name="_Toc147957787"/>
      <w:bookmarkStart w:id="104" w:name="_Toc14943"/>
      <w:r>
        <w:rPr>
          <w:rFonts w:hint="eastAsia"/>
        </w:rPr>
        <w:lastRenderedPageBreak/>
        <w:t>环境与场所</w:t>
      </w:r>
      <w:bookmarkEnd w:id="98"/>
      <w:bookmarkEnd w:id="99"/>
      <w:bookmarkEnd w:id="100"/>
      <w:bookmarkEnd w:id="101"/>
      <w:bookmarkEnd w:id="102"/>
      <w:bookmarkEnd w:id="103"/>
      <w:bookmarkEnd w:id="104"/>
    </w:p>
    <w:p w:rsidR="0021102D" w:rsidRDefault="00A766D9">
      <w:pPr>
        <w:pStyle w:val="affd"/>
        <w:spacing w:before="156" w:after="156"/>
        <w:ind w:left="0"/>
      </w:pPr>
      <w:r>
        <w:rPr>
          <w:rFonts w:hint="eastAsia"/>
        </w:rPr>
        <w:t>风险</w:t>
      </w:r>
    </w:p>
    <w:p w:rsidR="0021102D" w:rsidRDefault="00A766D9">
      <w:pPr>
        <w:pStyle w:val="affffffffa"/>
      </w:pPr>
      <w:r>
        <w:rPr>
          <w:rFonts w:hint="eastAsia"/>
        </w:rPr>
        <w:t>献血场所的面积、照明和通风不足，温湿度控制效果不佳。</w:t>
      </w:r>
    </w:p>
    <w:p w:rsidR="0021102D" w:rsidRDefault="00A766D9">
      <w:pPr>
        <w:pStyle w:val="affffffffa"/>
      </w:pPr>
      <w:r>
        <w:rPr>
          <w:rFonts w:hint="eastAsia"/>
        </w:rPr>
        <w:t>工作区域未分区或分区流程不合理。</w:t>
      </w:r>
    </w:p>
    <w:p w:rsidR="0021102D" w:rsidRDefault="00A766D9">
      <w:pPr>
        <w:pStyle w:val="affffffffa"/>
      </w:pPr>
      <w:r>
        <w:rPr>
          <w:rFonts w:hint="eastAsia"/>
        </w:rPr>
        <w:t>未按要求对献血场所进行清洁、消毒。</w:t>
      </w:r>
    </w:p>
    <w:p w:rsidR="0021102D" w:rsidRDefault="00A766D9">
      <w:pPr>
        <w:pStyle w:val="affffffffa"/>
      </w:pPr>
      <w:r>
        <w:rPr>
          <w:rFonts w:hint="eastAsia"/>
        </w:rPr>
        <w:t>献血场所缺少安全卫生标识。</w:t>
      </w:r>
    </w:p>
    <w:p w:rsidR="0021102D" w:rsidRDefault="00A766D9">
      <w:pPr>
        <w:pStyle w:val="affffffffa"/>
      </w:pPr>
      <w:r>
        <w:rPr>
          <w:rFonts w:hint="eastAsia"/>
        </w:rPr>
        <w:t>应急电源供电未满足工作需求。</w:t>
      </w:r>
    </w:p>
    <w:p w:rsidR="0021102D" w:rsidRDefault="00A766D9">
      <w:pPr>
        <w:pStyle w:val="affffffffa"/>
      </w:pPr>
      <w:r>
        <w:rPr>
          <w:rFonts w:hint="eastAsia"/>
        </w:rPr>
        <w:t>医疗废物管理不规范，造成环境被污染。</w:t>
      </w:r>
    </w:p>
    <w:p w:rsidR="0021102D" w:rsidRDefault="00A766D9">
      <w:pPr>
        <w:pStyle w:val="affd"/>
        <w:spacing w:before="156" w:after="156"/>
        <w:ind w:left="0"/>
      </w:pPr>
      <w:r>
        <w:rPr>
          <w:rFonts w:hint="eastAsia"/>
        </w:rPr>
        <w:t>风险控制</w:t>
      </w:r>
    </w:p>
    <w:p w:rsidR="0021102D" w:rsidRDefault="00A766D9">
      <w:pPr>
        <w:pStyle w:val="affffffffa"/>
        <w:rPr>
          <w:rFonts w:ascii="Times New Roman"/>
        </w:rPr>
      </w:pPr>
      <w:r>
        <w:rPr>
          <w:rFonts w:hint="eastAsia"/>
        </w:rPr>
        <w:t>献血场所面积、</w:t>
      </w:r>
      <w:r>
        <w:rPr>
          <w:rFonts w:ascii="Times New Roman"/>
        </w:rPr>
        <w:t>照明</w:t>
      </w:r>
      <w:r>
        <w:rPr>
          <w:rFonts w:ascii="Times New Roman" w:hint="eastAsia"/>
        </w:rPr>
        <w:t>、</w:t>
      </w:r>
      <w:r>
        <w:rPr>
          <w:rFonts w:hint="eastAsia"/>
        </w:rPr>
        <w:t>环境温湿度</w:t>
      </w:r>
      <w:r>
        <w:rPr>
          <w:rFonts w:ascii="Times New Roman"/>
        </w:rPr>
        <w:t>应符合</w:t>
      </w:r>
      <w:r>
        <w:rPr>
          <w:rFonts w:ascii="Times New Roman"/>
        </w:rPr>
        <w:t>WS/T 401</w:t>
      </w:r>
      <w:r>
        <w:rPr>
          <w:rFonts w:ascii="Times New Roman"/>
        </w:rPr>
        <w:t>要求。</w:t>
      </w:r>
    </w:p>
    <w:p w:rsidR="0021102D" w:rsidRDefault="00A766D9">
      <w:pPr>
        <w:pStyle w:val="affffffffa"/>
        <w:rPr>
          <w:rFonts w:ascii="Times New Roman"/>
        </w:rPr>
      </w:pPr>
      <w:r>
        <w:rPr>
          <w:rFonts w:ascii="Times New Roman"/>
        </w:rPr>
        <w:t>工作区域按工作流程合理布置，分区相对独立，标识明显。</w:t>
      </w:r>
      <w:r>
        <w:rPr>
          <w:rFonts w:ascii="Times New Roman" w:hint="eastAsia"/>
        </w:rPr>
        <w:t>为减少献血不良反应的发生，应设置如下区域：</w:t>
      </w:r>
    </w:p>
    <w:p w:rsidR="0021102D" w:rsidRDefault="00A766D9">
      <w:pPr>
        <w:pStyle w:val="af5"/>
        <w:numPr>
          <w:ilvl w:val="0"/>
          <w:numId w:val="37"/>
        </w:numPr>
        <w:rPr>
          <w:rFonts w:ascii="Times New Roman"/>
        </w:rPr>
      </w:pPr>
      <w:r>
        <w:rPr>
          <w:rFonts w:ascii="Times New Roman"/>
        </w:rPr>
        <w:t>设置献血前休息区，为献血者提供宽松、舒适的等候和休息环境，并进行献血相关科普宣传；</w:t>
      </w:r>
    </w:p>
    <w:p w:rsidR="0021102D" w:rsidRDefault="00A766D9">
      <w:pPr>
        <w:pStyle w:val="af5"/>
        <w:numPr>
          <w:ilvl w:val="0"/>
          <w:numId w:val="37"/>
        </w:numPr>
        <w:rPr>
          <w:rFonts w:ascii="Times New Roman"/>
        </w:rPr>
      </w:pPr>
      <w:r>
        <w:rPr>
          <w:rFonts w:ascii="Times New Roman"/>
        </w:rPr>
        <w:t>设置健康征询区，满足信息查询或咨询解释时保护献血者隐私的需求；</w:t>
      </w:r>
    </w:p>
    <w:p w:rsidR="0021102D" w:rsidRDefault="00A766D9">
      <w:pPr>
        <w:pStyle w:val="af5"/>
        <w:numPr>
          <w:ilvl w:val="0"/>
          <w:numId w:val="37"/>
        </w:numPr>
        <w:rPr>
          <w:rFonts w:ascii="Times New Roman"/>
        </w:rPr>
      </w:pPr>
      <w:r>
        <w:rPr>
          <w:rFonts w:ascii="Times New Roman"/>
        </w:rPr>
        <w:t>设置健康检查区，对献血者是否适宜献血进行一般检查和献血前血液检测；</w:t>
      </w:r>
    </w:p>
    <w:p w:rsidR="0021102D" w:rsidRDefault="00A766D9">
      <w:pPr>
        <w:pStyle w:val="af5"/>
        <w:numPr>
          <w:ilvl w:val="0"/>
          <w:numId w:val="37"/>
        </w:numPr>
        <w:rPr>
          <w:rFonts w:ascii="Times New Roman"/>
        </w:rPr>
      </w:pPr>
      <w:r>
        <w:rPr>
          <w:rFonts w:ascii="Times New Roman"/>
        </w:rPr>
        <w:t>设置血液采集区，给献血者提供安全、舒适的血液采集环境；</w:t>
      </w:r>
    </w:p>
    <w:p w:rsidR="0021102D" w:rsidRDefault="00A766D9">
      <w:pPr>
        <w:pStyle w:val="af5"/>
        <w:numPr>
          <w:ilvl w:val="0"/>
          <w:numId w:val="37"/>
        </w:numPr>
        <w:rPr>
          <w:rFonts w:ascii="Times New Roman"/>
        </w:rPr>
      </w:pPr>
      <w:r>
        <w:rPr>
          <w:rFonts w:ascii="Times New Roman"/>
        </w:rPr>
        <w:t>设置献血后休息区，提供献血者休息，并对其献血后的情况进行观察，能及时发现和处置献血不良反应，宜配备躺椅、可移动屏风等。</w:t>
      </w:r>
    </w:p>
    <w:p w:rsidR="0021102D" w:rsidRDefault="00A766D9">
      <w:pPr>
        <w:pStyle w:val="affffffffa"/>
        <w:rPr>
          <w:rFonts w:ascii="Times New Roman"/>
        </w:rPr>
      </w:pPr>
      <w:r>
        <w:rPr>
          <w:rFonts w:ascii="Times New Roman"/>
        </w:rPr>
        <w:t>保持献血场所整洁</w:t>
      </w:r>
      <w:r>
        <w:rPr>
          <w:rFonts w:ascii="Times New Roman" w:hint="eastAsia"/>
        </w:rPr>
        <w:t>、</w:t>
      </w:r>
      <w:r>
        <w:rPr>
          <w:rFonts w:ascii="Times New Roman"/>
        </w:rPr>
        <w:t>卫生。环境、设备与物品的清洁、消毒管理符合</w:t>
      </w:r>
      <w:r>
        <w:rPr>
          <w:rFonts w:ascii="Times New Roman"/>
        </w:rPr>
        <w:t>WS/T 367</w:t>
      </w:r>
      <w:r>
        <w:rPr>
          <w:rFonts w:ascii="Times New Roman"/>
        </w:rPr>
        <w:t>、</w:t>
      </w:r>
      <w:r>
        <w:rPr>
          <w:rFonts w:ascii="Times New Roman"/>
        </w:rPr>
        <w:t>DB32/T 3546</w:t>
      </w:r>
      <w:r>
        <w:rPr>
          <w:rFonts w:ascii="Times New Roman"/>
        </w:rPr>
        <w:t>要求。</w:t>
      </w:r>
    </w:p>
    <w:p w:rsidR="0021102D" w:rsidRDefault="00A766D9">
      <w:pPr>
        <w:pStyle w:val="affffffffa"/>
        <w:rPr>
          <w:rFonts w:ascii="Times New Roman"/>
        </w:rPr>
      </w:pPr>
      <w:r>
        <w:rPr>
          <w:rFonts w:ascii="Times New Roman"/>
        </w:rPr>
        <w:t>献血场所应有与工作性质相适应的安全卫生标识。</w:t>
      </w:r>
    </w:p>
    <w:p w:rsidR="0021102D" w:rsidRDefault="00A766D9">
      <w:pPr>
        <w:pStyle w:val="affffffffa"/>
      </w:pPr>
      <w:r>
        <w:rPr>
          <w:rFonts w:hint="eastAsia"/>
        </w:rPr>
        <w:t>应配置不间断电源和双路电源，以保证关键设备正常工作。</w:t>
      </w:r>
    </w:p>
    <w:p w:rsidR="0021102D" w:rsidRDefault="00A766D9">
      <w:pPr>
        <w:pStyle w:val="affffffffa"/>
      </w:pPr>
      <w:r>
        <w:rPr>
          <w:rFonts w:hint="eastAsia"/>
        </w:rPr>
        <w:t>医疗废物的分类、收集、运送、贮存、处置以及监督管理等活动应符合《医疗废物管理条例》《医疗卫生机构医疗废物管理办法》要求。</w:t>
      </w:r>
    </w:p>
    <w:p w:rsidR="0021102D" w:rsidRDefault="00A766D9">
      <w:pPr>
        <w:pStyle w:val="affc"/>
        <w:spacing w:before="312" w:after="312"/>
      </w:pPr>
      <w:bookmarkStart w:id="105" w:name="_Toc147957748"/>
      <w:bookmarkStart w:id="106" w:name="_Toc147957788"/>
      <w:bookmarkStart w:id="107" w:name="_Toc147958252"/>
      <w:bookmarkStart w:id="108" w:name="_Toc147957923"/>
      <w:bookmarkStart w:id="109" w:name="_Toc1514"/>
      <w:bookmarkStart w:id="110" w:name="_Toc147958066"/>
      <w:bookmarkStart w:id="111" w:name="_Toc149973351"/>
      <w:r>
        <w:rPr>
          <w:rFonts w:hint="eastAsia"/>
        </w:rPr>
        <w:t>献血不良反应预防和处置</w:t>
      </w:r>
      <w:bookmarkEnd w:id="105"/>
      <w:bookmarkEnd w:id="106"/>
      <w:bookmarkEnd w:id="107"/>
      <w:bookmarkEnd w:id="108"/>
      <w:bookmarkEnd w:id="109"/>
      <w:bookmarkEnd w:id="110"/>
      <w:bookmarkEnd w:id="111"/>
    </w:p>
    <w:p w:rsidR="0021102D" w:rsidRDefault="00A766D9">
      <w:pPr>
        <w:pStyle w:val="affd"/>
        <w:spacing w:before="156" w:after="156"/>
        <w:ind w:left="0"/>
      </w:pPr>
      <w:r>
        <w:rPr>
          <w:rFonts w:hint="eastAsia"/>
        </w:rPr>
        <w:t>风险</w:t>
      </w:r>
    </w:p>
    <w:p w:rsidR="0021102D" w:rsidRDefault="00A766D9">
      <w:pPr>
        <w:pStyle w:val="affffffffa"/>
      </w:pPr>
      <w:r>
        <w:rPr>
          <w:rFonts w:hint="eastAsia"/>
        </w:rPr>
        <w:t>未制定文件或制度落实献血者关爱措施。</w:t>
      </w:r>
    </w:p>
    <w:p w:rsidR="0021102D" w:rsidRDefault="00A766D9">
      <w:pPr>
        <w:pStyle w:val="affffffffa"/>
      </w:pPr>
      <w:r>
        <w:rPr>
          <w:rFonts w:hint="eastAsia"/>
        </w:rPr>
        <w:t>未采取有效措施关注定期单采血小板献血者以及相关重点人群的铁蛋白代谢指标。</w:t>
      </w:r>
    </w:p>
    <w:p w:rsidR="0021102D" w:rsidRDefault="00A766D9">
      <w:pPr>
        <w:pStyle w:val="affffffffa"/>
      </w:pPr>
      <w:r>
        <w:rPr>
          <w:rFonts w:hint="eastAsia"/>
        </w:rPr>
        <w:t>未充分告知献血者献血前、中、后注意事项，未对献血者实施献血全过程护理。</w:t>
      </w:r>
    </w:p>
    <w:p w:rsidR="0021102D" w:rsidRDefault="00A766D9">
      <w:pPr>
        <w:pStyle w:val="affffffffa"/>
      </w:pPr>
      <w:r>
        <w:rPr>
          <w:rFonts w:hint="eastAsia"/>
        </w:rPr>
        <w:t>未建立和实施献血不良反应预防和处置程序。</w:t>
      </w:r>
    </w:p>
    <w:p w:rsidR="0021102D" w:rsidRDefault="00A766D9">
      <w:pPr>
        <w:pStyle w:val="affffffffa"/>
      </w:pPr>
      <w:proofErr w:type="gramStart"/>
      <w:r>
        <w:rPr>
          <w:rFonts w:hint="eastAsia"/>
        </w:rPr>
        <w:t>未关注</w:t>
      </w:r>
      <w:proofErr w:type="gramEnd"/>
      <w:r>
        <w:rPr>
          <w:rFonts w:hint="eastAsia"/>
        </w:rPr>
        <w:t>既往有献血反应的献血者。</w:t>
      </w:r>
    </w:p>
    <w:p w:rsidR="0021102D" w:rsidRDefault="00A766D9">
      <w:pPr>
        <w:pStyle w:val="affffffffa"/>
      </w:pPr>
      <w:r>
        <w:rPr>
          <w:rFonts w:hint="eastAsia"/>
        </w:rPr>
        <w:t>献血不良反应处置不及时或不规范。</w:t>
      </w:r>
    </w:p>
    <w:p w:rsidR="0021102D" w:rsidRDefault="00A766D9">
      <w:pPr>
        <w:pStyle w:val="affffffffa"/>
      </w:pPr>
      <w:r>
        <w:rPr>
          <w:rFonts w:hint="eastAsia"/>
        </w:rPr>
        <w:t>献血者献血后未得到充足休息，即离开献血现场。</w:t>
      </w:r>
    </w:p>
    <w:p w:rsidR="0021102D" w:rsidRDefault="00A766D9">
      <w:pPr>
        <w:pStyle w:val="affffffffa"/>
      </w:pPr>
      <w:r>
        <w:rPr>
          <w:rFonts w:hint="eastAsia"/>
        </w:rPr>
        <w:t>献血者离开献血场所后出现献血不良反应。</w:t>
      </w:r>
    </w:p>
    <w:p w:rsidR="0021102D" w:rsidRDefault="00A766D9">
      <w:pPr>
        <w:pStyle w:val="affd"/>
        <w:spacing w:before="156" w:after="156"/>
        <w:ind w:left="0"/>
      </w:pPr>
      <w:r>
        <w:rPr>
          <w:rFonts w:hint="eastAsia"/>
        </w:rPr>
        <w:t>风险控制</w:t>
      </w:r>
    </w:p>
    <w:p w:rsidR="0021102D" w:rsidRDefault="00A766D9">
      <w:pPr>
        <w:pStyle w:val="affe"/>
        <w:spacing w:before="156" w:after="156"/>
      </w:pPr>
      <w:r>
        <w:rPr>
          <w:rFonts w:hint="eastAsia"/>
        </w:rPr>
        <w:t>制定献血者关爱策略。</w:t>
      </w:r>
    </w:p>
    <w:p w:rsidR="0021102D" w:rsidRDefault="00A766D9">
      <w:pPr>
        <w:pStyle w:val="affffffff9"/>
      </w:pPr>
      <w:r>
        <w:rPr>
          <w:rFonts w:hint="eastAsia"/>
        </w:rPr>
        <w:lastRenderedPageBreak/>
        <w:t>加强无偿献血知识宣传和献血者辅导。通过新闻媒体、微信、宣传海报、献血现场播放视频或发放宣传册等形式宣传无偿献血相关知识。</w:t>
      </w:r>
    </w:p>
    <w:p w:rsidR="0021102D" w:rsidRDefault="00A766D9">
      <w:pPr>
        <w:pStyle w:val="affffffff9"/>
      </w:pPr>
      <w:r>
        <w:rPr>
          <w:rFonts w:hint="eastAsia"/>
        </w:rPr>
        <w:t>关注和防止献血者出现缺铁情况，重点关注以下人群：</w:t>
      </w:r>
    </w:p>
    <w:p w:rsidR="0021102D" w:rsidRDefault="00A766D9">
      <w:pPr>
        <w:pStyle w:val="af5"/>
        <w:numPr>
          <w:ilvl w:val="0"/>
          <w:numId w:val="38"/>
        </w:numPr>
      </w:pPr>
      <w:r>
        <w:rPr>
          <w:rFonts w:hint="eastAsia"/>
        </w:rPr>
        <w:t>血红蛋白测定值接近参考范围值下限的女性献血者；</w:t>
      </w:r>
    </w:p>
    <w:p w:rsidR="0021102D" w:rsidRDefault="00A766D9">
      <w:pPr>
        <w:pStyle w:val="af5"/>
      </w:pPr>
      <w:r>
        <w:rPr>
          <w:rFonts w:hint="eastAsia"/>
        </w:rPr>
        <w:t>定期捐献单采血小板的献血者等；</w:t>
      </w:r>
    </w:p>
    <w:p w:rsidR="0021102D" w:rsidRDefault="00A766D9">
      <w:pPr>
        <w:pStyle w:val="af5"/>
      </w:pPr>
      <w:r>
        <w:rPr>
          <w:rFonts w:hint="eastAsia"/>
        </w:rPr>
        <w:t>制定重点人群铁缺乏早发现、早干预的制度，定期对其进行铁蛋白代谢等有关指标的监测，根据铁储备状况，提供献血频率或献血量的建议；</w:t>
      </w:r>
    </w:p>
    <w:p w:rsidR="0021102D" w:rsidRDefault="00A766D9">
      <w:pPr>
        <w:pStyle w:val="af5"/>
      </w:pPr>
      <w:r>
        <w:rPr>
          <w:rFonts w:hint="eastAsia"/>
        </w:rPr>
        <w:t>出现血清铁蛋白测定值低于参考范围值时，告知献血者忌过量饮茶及咖啡，多吃富含铁元素及促进铁吸收的食物，必要时建议到医疗机构就诊。</w:t>
      </w:r>
    </w:p>
    <w:p w:rsidR="0021102D" w:rsidRDefault="00A766D9">
      <w:pPr>
        <w:pStyle w:val="affffffff9"/>
      </w:pPr>
      <w:r>
        <w:rPr>
          <w:rFonts w:hint="eastAsia"/>
        </w:rPr>
        <w:t>关注献血者献血前血液检测结果，包括但不限于以下内容：</w:t>
      </w:r>
    </w:p>
    <w:p w:rsidR="0021102D" w:rsidRDefault="00A766D9">
      <w:pPr>
        <w:pStyle w:val="af5"/>
        <w:numPr>
          <w:ilvl w:val="0"/>
          <w:numId w:val="39"/>
        </w:numPr>
      </w:pPr>
      <w:r>
        <w:rPr>
          <w:rFonts w:hint="eastAsia"/>
        </w:rPr>
        <w:t>全血献血者需预估献血后的血红蛋白水平；</w:t>
      </w:r>
    </w:p>
    <w:p w:rsidR="0021102D" w:rsidRDefault="00A766D9">
      <w:pPr>
        <w:pStyle w:val="af5"/>
      </w:pPr>
      <w:r>
        <w:rPr>
          <w:rFonts w:hint="eastAsia"/>
        </w:rPr>
        <w:t>单采血小板献血者除关注血红蛋白、血细胞比容、血小板计数等检测项目，还需关注平均红细胞体积、红细胞体积分布宽度等指标及其趋势性变化。</w:t>
      </w:r>
    </w:p>
    <w:p w:rsidR="0021102D" w:rsidRDefault="00A766D9">
      <w:pPr>
        <w:pStyle w:val="affe"/>
        <w:spacing w:before="156" w:after="156"/>
      </w:pPr>
      <w:r>
        <w:rPr>
          <w:rFonts w:hint="eastAsia"/>
        </w:rPr>
        <w:t>献血不良反应预防</w:t>
      </w:r>
    </w:p>
    <w:p w:rsidR="0021102D" w:rsidRDefault="00A766D9">
      <w:pPr>
        <w:pStyle w:val="affffffff9"/>
      </w:pPr>
      <w:r>
        <w:rPr>
          <w:rFonts w:hint="eastAsia"/>
        </w:rPr>
        <w:t>建立和实施献血不良反应预防和处置程序。按照“预防为主，积极处置” 的控制原则，在献血过程中积极预防和处置献血不良反应。</w:t>
      </w:r>
    </w:p>
    <w:p w:rsidR="0021102D" w:rsidRDefault="00A766D9">
      <w:pPr>
        <w:pStyle w:val="affffffff9"/>
      </w:pPr>
      <w:r>
        <w:rPr>
          <w:rFonts w:hint="eastAsia"/>
        </w:rPr>
        <w:t>献血服务过程中使用文明礼貌用语，对献血者进行全程护理和情感交流，缓解献血者紧张情绪。</w:t>
      </w:r>
    </w:p>
    <w:p w:rsidR="0021102D" w:rsidRDefault="00A766D9">
      <w:pPr>
        <w:pStyle w:val="affffffff9"/>
      </w:pPr>
      <w:r>
        <w:rPr>
          <w:rFonts w:hint="eastAsia"/>
        </w:rPr>
        <w:t>工作人员应有预防献血不良反应发生的意识，能识别易发人群、避免诱发因素，掌握献血不良反应的处置方法。</w:t>
      </w:r>
    </w:p>
    <w:p w:rsidR="0021102D" w:rsidRDefault="00A766D9">
      <w:pPr>
        <w:pStyle w:val="affffffff9"/>
      </w:pPr>
      <w:r>
        <w:rPr>
          <w:rFonts w:hint="eastAsia"/>
        </w:rPr>
        <w:t>重点关注既往有献血不良反应的献血者和</w:t>
      </w:r>
      <w:proofErr w:type="gramStart"/>
      <w:r>
        <w:rPr>
          <w:rFonts w:hint="eastAsia"/>
        </w:rPr>
        <w:t>初次献血</w:t>
      </w:r>
      <w:proofErr w:type="gramEnd"/>
      <w:r>
        <w:rPr>
          <w:rFonts w:hint="eastAsia"/>
        </w:rPr>
        <w:t>者。</w:t>
      </w:r>
    </w:p>
    <w:p w:rsidR="0021102D" w:rsidRDefault="00A766D9">
      <w:pPr>
        <w:pStyle w:val="affffffff9"/>
      </w:pPr>
      <w:r>
        <w:rPr>
          <w:rFonts w:ascii="Times New Roman"/>
        </w:rPr>
        <w:t>献血者献血前适当增加水和盐的摄入。</w:t>
      </w:r>
    </w:p>
    <w:p w:rsidR="0021102D" w:rsidRDefault="00A766D9">
      <w:pPr>
        <w:pStyle w:val="affffffff9"/>
      </w:pPr>
      <w:r>
        <w:rPr>
          <w:rFonts w:hint="eastAsia"/>
        </w:rPr>
        <w:t>指导献血者了解献血不良反应的基本知识，掌握并运用献血过程中分散注意力的方法，包括但不限于以下方法：</w:t>
      </w:r>
    </w:p>
    <w:p w:rsidR="0021102D" w:rsidRDefault="00A766D9">
      <w:pPr>
        <w:pStyle w:val="af5"/>
        <w:numPr>
          <w:ilvl w:val="0"/>
          <w:numId w:val="40"/>
        </w:numPr>
      </w:pPr>
      <w:r>
        <w:rPr>
          <w:rFonts w:hint="eastAsia"/>
        </w:rPr>
        <w:t>听音乐或看视频；</w:t>
      </w:r>
    </w:p>
    <w:p w:rsidR="0021102D" w:rsidRDefault="00A766D9">
      <w:pPr>
        <w:pStyle w:val="af5"/>
        <w:rPr>
          <w:rFonts w:ascii="Times New Roman"/>
        </w:rPr>
      </w:pPr>
      <w:r>
        <w:rPr>
          <w:rFonts w:hint="eastAsia"/>
        </w:rPr>
        <w:t>做预防性肌肉收缩和舒张活动，具体</w:t>
      </w:r>
      <w:r>
        <w:rPr>
          <w:rFonts w:ascii="Times New Roman"/>
        </w:rPr>
        <w:t>方法参照</w:t>
      </w:r>
      <w:r>
        <w:rPr>
          <w:rFonts w:ascii="Times New Roman"/>
        </w:rPr>
        <w:t>WS/T 595</w:t>
      </w:r>
      <w:r>
        <w:rPr>
          <w:rFonts w:ascii="Times New Roman"/>
        </w:rPr>
        <w:t>；</w:t>
      </w:r>
    </w:p>
    <w:p w:rsidR="0021102D" w:rsidRDefault="00A766D9">
      <w:pPr>
        <w:pStyle w:val="af5"/>
        <w:rPr>
          <w:rFonts w:ascii="Times New Roman"/>
        </w:rPr>
      </w:pPr>
      <w:r>
        <w:rPr>
          <w:rFonts w:ascii="Times New Roman"/>
        </w:rPr>
        <w:t>与现场人员沟通和交流。</w:t>
      </w:r>
    </w:p>
    <w:p w:rsidR="0021102D" w:rsidRDefault="00A766D9">
      <w:pPr>
        <w:pStyle w:val="affffffff9"/>
        <w:rPr>
          <w:rFonts w:ascii="Times New Roman"/>
        </w:rPr>
      </w:pPr>
      <w:r>
        <w:rPr>
          <w:rFonts w:ascii="Times New Roman"/>
        </w:rPr>
        <w:t>控制献血量。根据献血者年龄、身高、体重、血红蛋白含量等因素综合评估安全献血量，单采血小板过程中可以采用静脉补充生理盐水维持循环血容量。</w:t>
      </w:r>
    </w:p>
    <w:p w:rsidR="0021102D" w:rsidRDefault="00A766D9">
      <w:pPr>
        <w:pStyle w:val="affffffff9"/>
        <w:rPr>
          <w:rFonts w:ascii="Times New Roman"/>
        </w:rPr>
      </w:pPr>
      <w:r>
        <w:rPr>
          <w:rFonts w:ascii="Times New Roman"/>
        </w:rPr>
        <w:t>告知献血者献血后注意事项，献血后在指定休息区休息并接受观察至少</w:t>
      </w:r>
      <w:r>
        <w:rPr>
          <w:rFonts w:ascii="Times New Roman"/>
        </w:rPr>
        <w:t>15 min</w:t>
      </w:r>
      <w:r>
        <w:rPr>
          <w:rFonts w:ascii="Times New Roman"/>
        </w:rPr>
        <w:t>，无不适感觉且经工作人员允许后再离开。</w:t>
      </w:r>
    </w:p>
    <w:p w:rsidR="0021102D" w:rsidRDefault="00A766D9">
      <w:pPr>
        <w:pStyle w:val="affffffff9"/>
      </w:pPr>
      <w:r>
        <w:rPr>
          <w:rFonts w:ascii="Times New Roman"/>
        </w:rPr>
        <w:t>告知献血者血站服务电话，以及离开献血场所后出现献血不良反应的应急</w:t>
      </w:r>
      <w:r>
        <w:rPr>
          <w:rFonts w:ascii="Times New Roman" w:hint="eastAsia"/>
        </w:rPr>
        <w:t>处理</w:t>
      </w:r>
      <w:r>
        <w:rPr>
          <w:rFonts w:ascii="Times New Roman"/>
        </w:rPr>
        <w:t>方</w:t>
      </w:r>
      <w:r>
        <w:rPr>
          <w:rFonts w:hint="eastAsia"/>
        </w:rPr>
        <w:t>法。</w:t>
      </w:r>
    </w:p>
    <w:p w:rsidR="0021102D" w:rsidRDefault="00A766D9">
      <w:pPr>
        <w:pStyle w:val="affe"/>
        <w:spacing w:before="156" w:after="156"/>
      </w:pPr>
      <w:r>
        <w:rPr>
          <w:rFonts w:hint="eastAsia"/>
        </w:rPr>
        <w:t>献血不良反应处置和评估</w:t>
      </w:r>
    </w:p>
    <w:p w:rsidR="0021102D" w:rsidRDefault="00A766D9">
      <w:pPr>
        <w:pStyle w:val="affffffff9"/>
      </w:pPr>
      <w:r>
        <w:rPr>
          <w:rFonts w:hint="eastAsia"/>
        </w:rPr>
        <w:t>以局部表现为主的献血不良反应，根据不同情况给予局部对症处置，主要包括：</w:t>
      </w:r>
      <w:r>
        <w:t xml:space="preserve"> </w:t>
      </w:r>
    </w:p>
    <w:p w:rsidR="0021102D" w:rsidRDefault="00A766D9">
      <w:pPr>
        <w:pStyle w:val="af5"/>
        <w:numPr>
          <w:ilvl w:val="0"/>
          <w:numId w:val="41"/>
        </w:numPr>
        <w:rPr>
          <w:rFonts w:ascii="Times New Roman"/>
        </w:rPr>
      </w:pPr>
      <w:r>
        <w:rPr>
          <w:rFonts w:hint="eastAsia"/>
        </w:rPr>
        <w:t>按压不当或穿刺不佳导致的血肿，可</w:t>
      </w:r>
      <w:r>
        <w:rPr>
          <w:rFonts w:ascii="Times New Roman"/>
        </w:rPr>
        <w:t>在</w:t>
      </w:r>
      <w:r>
        <w:rPr>
          <w:rFonts w:ascii="Times New Roman"/>
        </w:rPr>
        <w:t>24 h</w:t>
      </w:r>
      <w:r>
        <w:rPr>
          <w:rFonts w:ascii="Times New Roman"/>
        </w:rPr>
        <w:t>内予以冷敷、</w:t>
      </w:r>
      <w:r>
        <w:rPr>
          <w:rFonts w:ascii="Times New Roman"/>
        </w:rPr>
        <w:t>24 h</w:t>
      </w:r>
      <w:r>
        <w:rPr>
          <w:rFonts w:ascii="Times New Roman"/>
        </w:rPr>
        <w:t>后予以热敷，必要时在医生指导下给予活血散</w:t>
      </w:r>
      <w:proofErr w:type="gramStart"/>
      <w:r>
        <w:rPr>
          <w:rFonts w:ascii="Times New Roman"/>
        </w:rPr>
        <w:t>瘀</w:t>
      </w:r>
      <w:proofErr w:type="gramEnd"/>
      <w:r>
        <w:rPr>
          <w:rFonts w:ascii="Times New Roman"/>
        </w:rPr>
        <w:t>、消肿止痛用药；</w:t>
      </w:r>
    </w:p>
    <w:p w:rsidR="0021102D" w:rsidRDefault="00A766D9">
      <w:pPr>
        <w:pStyle w:val="af5"/>
      </w:pPr>
      <w:r>
        <w:rPr>
          <w:rFonts w:hint="eastAsia"/>
        </w:rPr>
        <w:t>神经刺激或损伤、手臂疼痛等，应</w:t>
      </w:r>
      <w:proofErr w:type="gramStart"/>
      <w:r>
        <w:rPr>
          <w:rFonts w:hint="eastAsia"/>
        </w:rPr>
        <w:t>嘱</w:t>
      </w:r>
      <w:proofErr w:type="gramEnd"/>
      <w:r>
        <w:rPr>
          <w:rFonts w:hint="eastAsia"/>
        </w:rPr>
        <w:t>献血者手臂暂时不负重，必要时在医生指导下给予止痛用药；</w:t>
      </w:r>
    </w:p>
    <w:p w:rsidR="0021102D" w:rsidRDefault="00A766D9">
      <w:pPr>
        <w:pStyle w:val="af5"/>
      </w:pPr>
      <w:r>
        <w:rPr>
          <w:rFonts w:hint="eastAsia"/>
        </w:rPr>
        <w:t>局部炎症，出现静脉炎、皮肤过敏等，早期可行热敷或根据严重程度在医生指导下用药。</w:t>
      </w:r>
    </w:p>
    <w:p w:rsidR="0021102D" w:rsidRDefault="00A766D9">
      <w:pPr>
        <w:pStyle w:val="affffffff9"/>
      </w:pPr>
      <w:r>
        <w:rPr>
          <w:rFonts w:hint="eastAsia"/>
        </w:rPr>
        <w:t>以全身性表现为主的献血不良反应，一般采取现场措施后可恢复，相应措施如下：</w:t>
      </w:r>
    </w:p>
    <w:p w:rsidR="0021102D" w:rsidRDefault="00A766D9">
      <w:pPr>
        <w:pStyle w:val="af5"/>
        <w:numPr>
          <w:ilvl w:val="0"/>
          <w:numId w:val="42"/>
        </w:numPr>
      </w:pPr>
      <w:proofErr w:type="gramStart"/>
      <w:r>
        <w:rPr>
          <w:rFonts w:hint="eastAsia"/>
        </w:rPr>
        <w:t>嘱</w:t>
      </w:r>
      <w:proofErr w:type="gramEnd"/>
      <w:r>
        <w:rPr>
          <w:rFonts w:hint="eastAsia"/>
        </w:rPr>
        <w:t>献血者做肌肉收缩和舒张的放松活动；</w:t>
      </w:r>
      <w:r>
        <w:t xml:space="preserve"> </w:t>
      </w:r>
    </w:p>
    <w:p w:rsidR="0021102D" w:rsidRDefault="00A766D9">
      <w:pPr>
        <w:pStyle w:val="af5"/>
      </w:pPr>
      <w:r>
        <w:rPr>
          <w:rFonts w:hint="eastAsia"/>
        </w:rPr>
        <w:lastRenderedPageBreak/>
        <w:t>停止采血；</w:t>
      </w:r>
    </w:p>
    <w:p w:rsidR="0021102D" w:rsidRDefault="00A766D9">
      <w:pPr>
        <w:pStyle w:val="af5"/>
      </w:pPr>
      <w:r>
        <w:rPr>
          <w:rFonts w:hint="eastAsia"/>
        </w:rPr>
        <w:t>采取头低脚高位，头偏向一侧；</w:t>
      </w:r>
    </w:p>
    <w:p w:rsidR="0021102D" w:rsidRDefault="00A766D9">
      <w:pPr>
        <w:pStyle w:val="af5"/>
      </w:pPr>
      <w:r>
        <w:rPr>
          <w:rFonts w:hint="eastAsia"/>
        </w:rPr>
        <w:t>松开衣领或紧身衣服；</w:t>
      </w:r>
    </w:p>
    <w:p w:rsidR="0021102D" w:rsidRDefault="00A766D9">
      <w:pPr>
        <w:pStyle w:val="af5"/>
      </w:pPr>
      <w:r>
        <w:rPr>
          <w:rFonts w:hint="eastAsia"/>
        </w:rPr>
        <w:t>保暖并在空气流通良好处做充分休息，必要时给予吸氧等；</w:t>
      </w:r>
    </w:p>
    <w:p w:rsidR="0021102D" w:rsidRDefault="00A766D9">
      <w:pPr>
        <w:pStyle w:val="af5"/>
      </w:pPr>
      <w:r>
        <w:rPr>
          <w:rFonts w:hint="eastAsia"/>
        </w:rPr>
        <w:t>晕厥时给予穴位（例如：人中、合谷）按压；</w:t>
      </w:r>
    </w:p>
    <w:p w:rsidR="0021102D" w:rsidRDefault="00A766D9">
      <w:pPr>
        <w:pStyle w:val="af5"/>
      </w:pPr>
      <w:r>
        <w:rPr>
          <w:rFonts w:hint="eastAsia"/>
        </w:rPr>
        <w:t>监测脉搏和血压；</w:t>
      </w:r>
    </w:p>
    <w:p w:rsidR="0021102D" w:rsidRDefault="00A766D9">
      <w:pPr>
        <w:pStyle w:val="af5"/>
      </w:pPr>
      <w:r>
        <w:rPr>
          <w:rFonts w:hint="eastAsia"/>
        </w:rPr>
        <w:t>献血者意识恢复后，给予安慰和解释、饮用液体等；</w:t>
      </w:r>
    </w:p>
    <w:p w:rsidR="0021102D" w:rsidRDefault="00A766D9">
      <w:pPr>
        <w:pStyle w:val="af5"/>
      </w:pPr>
      <w:r>
        <w:rPr>
          <w:rFonts w:hint="eastAsia"/>
        </w:rPr>
        <w:t>单采成分献血者除上述处置方法外，应及时给予钙剂补充。</w:t>
      </w:r>
    </w:p>
    <w:p w:rsidR="0021102D" w:rsidRDefault="00A766D9">
      <w:pPr>
        <w:pStyle w:val="affffffff9"/>
      </w:pPr>
      <w:r>
        <w:rPr>
          <w:rFonts w:hint="eastAsia"/>
        </w:rPr>
        <w:t>离开献血场所后发生的献血不良反应，指导献血者下蹲或坐地休息，根据不同发生时间、地点、症状采取最安全的处置方法。</w:t>
      </w:r>
    </w:p>
    <w:p w:rsidR="0021102D" w:rsidRDefault="00A766D9">
      <w:pPr>
        <w:pStyle w:val="affffffff9"/>
      </w:pPr>
      <w:r>
        <w:rPr>
          <w:rFonts w:hint="eastAsia"/>
        </w:rPr>
        <w:t>献血不良反应经常规处置后未好转的，必要时将献血者送至附近医疗机构就诊。</w:t>
      </w:r>
    </w:p>
    <w:p w:rsidR="0021102D" w:rsidRDefault="00A766D9">
      <w:pPr>
        <w:pStyle w:val="affffffff9"/>
      </w:pPr>
      <w:r>
        <w:rPr>
          <w:rFonts w:hint="eastAsia"/>
        </w:rPr>
        <w:t>对发生献血不良的献血者进行评估和回访，必要时上门回访。</w:t>
      </w:r>
    </w:p>
    <w:p w:rsidR="0021102D" w:rsidRDefault="0021102D">
      <w:pPr>
        <w:pStyle w:val="af5"/>
        <w:numPr>
          <w:ilvl w:val="0"/>
          <w:numId w:val="0"/>
        </w:numPr>
        <w:sectPr w:rsidR="0021102D">
          <w:pgSz w:w="11906" w:h="16838"/>
          <w:pgMar w:top="1928" w:right="1134" w:bottom="1134" w:left="1134" w:header="1418" w:footer="1134" w:gutter="284"/>
          <w:pgNumType w:start="1"/>
          <w:cols w:space="425"/>
          <w:formProt w:val="0"/>
          <w:docGrid w:type="lines" w:linePitch="312"/>
        </w:sectPr>
      </w:pPr>
      <w:bookmarkStart w:id="112" w:name="BookMark6"/>
      <w:bookmarkEnd w:id="30"/>
    </w:p>
    <w:p w:rsidR="0021102D" w:rsidRDefault="00A766D9">
      <w:pPr>
        <w:pStyle w:val="afffff5"/>
        <w:spacing w:after="156" w:line="320" w:lineRule="exact"/>
        <w:ind w:left="0"/>
      </w:pPr>
      <w:bookmarkStart w:id="113" w:name="_Toc32302"/>
      <w:bookmarkStart w:id="114" w:name="_Toc147957749"/>
      <w:bookmarkStart w:id="115" w:name="_Toc147958067"/>
      <w:bookmarkStart w:id="116" w:name="_Toc147958253"/>
      <w:bookmarkStart w:id="117" w:name="_Toc147957924"/>
      <w:bookmarkStart w:id="118" w:name="_Toc147957789"/>
      <w:bookmarkStart w:id="119" w:name="_Toc149973352"/>
      <w:r>
        <w:rPr>
          <w:rFonts w:hint="eastAsia"/>
          <w:spacing w:val="105"/>
        </w:rPr>
        <w:lastRenderedPageBreak/>
        <w:t>参考文</w:t>
      </w:r>
      <w:r>
        <w:rPr>
          <w:rFonts w:hint="eastAsia"/>
        </w:rPr>
        <w:t>献</w:t>
      </w:r>
      <w:bookmarkEnd w:id="113"/>
      <w:bookmarkEnd w:id="114"/>
      <w:bookmarkEnd w:id="115"/>
      <w:bookmarkEnd w:id="116"/>
      <w:bookmarkEnd w:id="117"/>
      <w:bookmarkEnd w:id="118"/>
      <w:bookmarkEnd w:id="119"/>
    </w:p>
    <w:p w:rsidR="0021102D" w:rsidRDefault="00A766D9">
      <w:pPr>
        <w:pStyle w:val="affffe"/>
        <w:spacing w:line="320" w:lineRule="exact"/>
        <w:ind w:firstLineChars="0" w:firstLine="0"/>
        <w:rPr>
          <w:rFonts w:ascii="Times New Roman"/>
        </w:rPr>
      </w:pPr>
      <w:r>
        <w:rPr>
          <w:rFonts w:ascii="Times New Roman"/>
        </w:rPr>
        <w:t>[1] GB/T 24353</w:t>
      </w:r>
      <w:r w:rsidR="00E54F71">
        <w:rPr>
          <w:rFonts w:ascii="Times New Roman" w:hint="eastAsia"/>
        </w:rPr>
        <w:t>—</w:t>
      </w:r>
      <w:r>
        <w:rPr>
          <w:rFonts w:ascii="Times New Roman"/>
        </w:rPr>
        <w:t xml:space="preserve">2009 </w:t>
      </w:r>
      <w:r>
        <w:rPr>
          <w:rFonts w:ascii="Times New Roman"/>
        </w:rPr>
        <w:t>风险管理</w:t>
      </w:r>
      <w:r>
        <w:rPr>
          <w:rFonts w:ascii="Times New Roman"/>
        </w:rPr>
        <w:t xml:space="preserve"> </w:t>
      </w:r>
      <w:r>
        <w:rPr>
          <w:rFonts w:ascii="Times New Roman"/>
        </w:rPr>
        <w:t>原则与实施指南</w:t>
      </w:r>
      <w:r>
        <w:rPr>
          <w:rFonts w:ascii="Times New Roman"/>
        </w:rPr>
        <w:t xml:space="preserve"> </w:t>
      </w:r>
    </w:p>
    <w:p w:rsidR="0021102D" w:rsidRDefault="00A766D9">
      <w:pPr>
        <w:pStyle w:val="affffe"/>
        <w:spacing w:line="320" w:lineRule="exact"/>
        <w:ind w:firstLineChars="0" w:firstLine="0"/>
        <w:rPr>
          <w:rFonts w:ascii="Times New Roman"/>
        </w:rPr>
      </w:pPr>
      <w:r>
        <w:rPr>
          <w:rFonts w:ascii="Times New Roman"/>
        </w:rPr>
        <w:t>[2] GB/T 27921</w:t>
      </w:r>
      <w:r w:rsidR="00E54F71">
        <w:rPr>
          <w:rFonts w:ascii="Times New Roman" w:hint="eastAsia"/>
        </w:rPr>
        <w:t>—</w:t>
      </w:r>
      <w:r>
        <w:rPr>
          <w:rFonts w:ascii="Times New Roman"/>
        </w:rPr>
        <w:t xml:space="preserve">2011 </w:t>
      </w:r>
      <w:r>
        <w:rPr>
          <w:rFonts w:ascii="Times New Roman"/>
        </w:rPr>
        <w:t>风险管理</w:t>
      </w:r>
      <w:r>
        <w:rPr>
          <w:rFonts w:ascii="Times New Roman"/>
        </w:rPr>
        <w:t xml:space="preserve"> </w:t>
      </w:r>
      <w:r>
        <w:rPr>
          <w:rFonts w:ascii="Times New Roman"/>
        </w:rPr>
        <w:t>风险评估技术</w:t>
      </w:r>
      <w:r>
        <w:rPr>
          <w:rFonts w:ascii="Times New Roman"/>
        </w:rPr>
        <w:t xml:space="preserve"> </w:t>
      </w:r>
    </w:p>
    <w:p w:rsidR="0021102D" w:rsidRDefault="00A766D9">
      <w:pPr>
        <w:pStyle w:val="affffe"/>
        <w:spacing w:line="320" w:lineRule="exact"/>
        <w:ind w:firstLineChars="0" w:firstLine="0"/>
        <w:rPr>
          <w:rFonts w:ascii="Times New Roman"/>
        </w:rPr>
      </w:pPr>
      <w:r>
        <w:rPr>
          <w:rFonts w:ascii="Times New Roman"/>
        </w:rPr>
        <w:t>[3] WS/T 551</w:t>
      </w:r>
      <w:r w:rsidR="00E54F71">
        <w:rPr>
          <w:rFonts w:ascii="Times New Roman" w:hint="eastAsia"/>
        </w:rPr>
        <w:t>—</w:t>
      </w:r>
      <w:r>
        <w:rPr>
          <w:rFonts w:ascii="Times New Roman"/>
        </w:rPr>
        <w:t xml:space="preserve">2017 </w:t>
      </w:r>
      <w:r>
        <w:rPr>
          <w:rFonts w:ascii="Times New Roman"/>
        </w:rPr>
        <w:t>献血不良反应分类指南</w:t>
      </w:r>
    </w:p>
    <w:p w:rsidR="0021102D" w:rsidRDefault="00A766D9">
      <w:pPr>
        <w:pStyle w:val="affffe"/>
        <w:spacing w:line="320" w:lineRule="exact"/>
        <w:ind w:firstLineChars="0" w:firstLine="0"/>
        <w:rPr>
          <w:rFonts w:ascii="Times New Roman"/>
        </w:rPr>
      </w:pPr>
      <w:r>
        <w:rPr>
          <w:rFonts w:ascii="Times New Roman"/>
        </w:rPr>
        <w:t xml:space="preserve">[4] </w:t>
      </w:r>
      <w:r>
        <w:rPr>
          <w:rFonts w:ascii="Times New Roman"/>
        </w:rPr>
        <w:t>医疗废物管理条例（国务院令第</w:t>
      </w:r>
      <w:r>
        <w:rPr>
          <w:rFonts w:ascii="Times New Roman"/>
        </w:rPr>
        <w:t>380</w:t>
      </w:r>
      <w:r>
        <w:rPr>
          <w:rFonts w:ascii="Times New Roman"/>
        </w:rPr>
        <w:t>号）国务院</w:t>
      </w:r>
    </w:p>
    <w:p w:rsidR="0021102D" w:rsidRDefault="00A766D9">
      <w:pPr>
        <w:pStyle w:val="affffe"/>
        <w:spacing w:line="320" w:lineRule="exact"/>
        <w:ind w:firstLineChars="0" w:firstLine="0"/>
        <w:rPr>
          <w:rFonts w:ascii="Times New Roman"/>
        </w:rPr>
      </w:pPr>
      <w:r>
        <w:rPr>
          <w:rFonts w:ascii="Times New Roman"/>
        </w:rPr>
        <w:t xml:space="preserve">[5] </w:t>
      </w:r>
      <w:r>
        <w:rPr>
          <w:rFonts w:ascii="Times New Roman"/>
        </w:rPr>
        <w:t>医疗卫生机构医疗废物管理办法（卫生部令第</w:t>
      </w:r>
      <w:r>
        <w:rPr>
          <w:rFonts w:ascii="Times New Roman"/>
        </w:rPr>
        <w:t>36</w:t>
      </w:r>
      <w:r>
        <w:rPr>
          <w:rFonts w:ascii="Times New Roman"/>
        </w:rPr>
        <w:t>号）原卫生部</w:t>
      </w:r>
    </w:p>
    <w:p w:rsidR="0021102D" w:rsidRDefault="00A766D9">
      <w:pPr>
        <w:pStyle w:val="affffe"/>
        <w:spacing w:line="320" w:lineRule="exact"/>
        <w:ind w:firstLineChars="0" w:firstLine="0"/>
        <w:rPr>
          <w:rFonts w:ascii="Times New Roman"/>
        </w:rPr>
      </w:pPr>
      <w:r>
        <w:rPr>
          <w:rFonts w:ascii="Times New Roman"/>
        </w:rPr>
        <w:t xml:space="preserve">[6] </w:t>
      </w:r>
      <w:r>
        <w:rPr>
          <w:rFonts w:ascii="Times New Roman"/>
        </w:rPr>
        <w:t>血站管理办法（（国家卫生和计划生育委员令</w:t>
      </w:r>
      <w:r>
        <w:rPr>
          <w:rFonts w:ascii="Times New Roman"/>
        </w:rPr>
        <w:t xml:space="preserve"> </w:t>
      </w:r>
      <w:r>
        <w:rPr>
          <w:rFonts w:ascii="Times New Roman"/>
        </w:rPr>
        <w:t>第</w:t>
      </w:r>
      <w:r>
        <w:rPr>
          <w:rFonts w:ascii="Times New Roman"/>
        </w:rPr>
        <w:t xml:space="preserve"> 18 </w:t>
      </w:r>
      <w:r>
        <w:rPr>
          <w:rFonts w:ascii="Times New Roman"/>
        </w:rPr>
        <w:t>号）第三次修订）</w:t>
      </w:r>
      <w:r>
        <w:rPr>
          <w:rFonts w:ascii="Times New Roman"/>
        </w:rPr>
        <w:t xml:space="preserve"> </w:t>
      </w:r>
      <w:bookmarkStart w:id="120" w:name="_GoBack"/>
      <w:r>
        <w:rPr>
          <w:rFonts w:ascii="Times New Roman"/>
        </w:rPr>
        <w:t>原卫计委</w:t>
      </w:r>
      <w:bookmarkEnd w:id="120"/>
    </w:p>
    <w:p w:rsidR="0021102D" w:rsidRDefault="00A766D9">
      <w:pPr>
        <w:pStyle w:val="affffe"/>
        <w:spacing w:line="320" w:lineRule="exact"/>
        <w:ind w:firstLineChars="0" w:firstLine="0"/>
        <w:rPr>
          <w:rFonts w:ascii="Times New Roman"/>
        </w:rPr>
      </w:pPr>
      <w:r>
        <w:rPr>
          <w:rFonts w:ascii="Times New Roman"/>
        </w:rPr>
        <w:t xml:space="preserve">[7] </w:t>
      </w:r>
      <w:r>
        <w:rPr>
          <w:rFonts w:ascii="Times New Roman"/>
        </w:rPr>
        <w:t>血站质量管理规范（卫</w:t>
      </w:r>
      <w:proofErr w:type="gramStart"/>
      <w:r>
        <w:rPr>
          <w:rFonts w:ascii="Times New Roman"/>
        </w:rPr>
        <w:t>医</w:t>
      </w:r>
      <w:proofErr w:type="gramEnd"/>
      <w:r>
        <w:rPr>
          <w:rFonts w:ascii="Times New Roman"/>
        </w:rPr>
        <w:t>发〔</w:t>
      </w:r>
      <w:r>
        <w:rPr>
          <w:rFonts w:ascii="Times New Roman"/>
        </w:rPr>
        <w:t>2006</w:t>
      </w:r>
      <w:r>
        <w:rPr>
          <w:rFonts w:ascii="Times New Roman"/>
        </w:rPr>
        <w:t>〕</w:t>
      </w:r>
      <w:r>
        <w:rPr>
          <w:rFonts w:ascii="Times New Roman"/>
        </w:rPr>
        <w:t>167</w:t>
      </w:r>
      <w:r>
        <w:rPr>
          <w:rFonts w:ascii="Times New Roman"/>
        </w:rPr>
        <w:t>号）原卫生部</w:t>
      </w:r>
    </w:p>
    <w:p w:rsidR="0021102D" w:rsidRDefault="00A766D9">
      <w:pPr>
        <w:pStyle w:val="affffe"/>
        <w:spacing w:line="320" w:lineRule="exact"/>
        <w:ind w:firstLineChars="0" w:firstLine="0"/>
        <w:rPr>
          <w:rFonts w:ascii="Times New Roman"/>
        </w:rPr>
      </w:pPr>
      <w:r>
        <w:rPr>
          <w:rFonts w:ascii="Times New Roman"/>
        </w:rPr>
        <w:t xml:space="preserve">[8] </w:t>
      </w:r>
      <w:r>
        <w:rPr>
          <w:rFonts w:ascii="Times New Roman"/>
        </w:rPr>
        <w:t>血站实验室质量管理规范（卫</w:t>
      </w:r>
      <w:proofErr w:type="gramStart"/>
      <w:r>
        <w:rPr>
          <w:rFonts w:ascii="Times New Roman"/>
        </w:rPr>
        <w:t>医</w:t>
      </w:r>
      <w:proofErr w:type="gramEnd"/>
      <w:r>
        <w:rPr>
          <w:rFonts w:ascii="Times New Roman"/>
        </w:rPr>
        <w:t>发〔</w:t>
      </w:r>
      <w:r>
        <w:rPr>
          <w:rFonts w:ascii="Times New Roman"/>
        </w:rPr>
        <w:t>2006</w:t>
      </w:r>
      <w:r>
        <w:rPr>
          <w:rFonts w:ascii="Times New Roman"/>
        </w:rPr>
        <w:t>〕</w:t>
      </w:r>
      <w:r>
        <w:rPr>
          <w:rFonts w:ascii="Times New Roman"/>
        </w:rPr>
        <w:t>183</w:t>
      </w:r>
      <w:r>
        <w:rPr>
          <w:rFonts w:ascii="Times New Roman"/>
        </w:rPr>
        <w:t>号）原卫生部</w:t>
      </w:r>
    </w:p>
    <w:p w:rsidR="0021102D" w:rsidRDefault="00A766D9">
      <w:pPr>
        <w:pStyle w:val="affffe"/>
        <w:spacing w:line="320" w:lineRule="exact"/>
        <w:ind w:firstLineChars="0" w:firstLine="0"/>
        <w:rPr>
          <w:rFonts w:ascii="Times New Roman"/>
        </w:rPr>
      </w:pPr>
      <w:bookmarkStart w:id="121" w:name="_Hlk150093102"/>
      <w:r>
        <w:rPr>
          <w:rFonts w:ascii="Times New Roman"/>
        </w:rPr>
        <w:t xml:space="preserve">[9] </w:t>
      </w:r>
      <w:bookmarkEnd w:id="121"/>
      <w:r>
        <w:rPr>
          <w:rFonts w:ascii="Times New Roman"/>
        </w:rPr>
        <w:t>血站技术操作规程（国卫</w:t>
      </w:r>
      <w:proofErr w:type="gramStart"/>
      <w:r>
        <w:rPr>
          <w:rFonts w:ascii="Times New Roman"/>
        </w:rPr>
        <w:t>医</w:t>
      </w:r>
      <w:proofErr w:type="gramEnd"/>
      <w:r>
        <w:rPr>
          <w:rFonts w:ascii="Times New Roman"/>
        </w:rPr>
        <w:t>函〔</w:t>
      </w:r>
      <w:r>
        <w:rPr>
          <w:rFonts w:ascii="Times New Roman"/>
        </w:rPr>
        <w:t>2019</w:t>
      </w:r>
      <w:r>
        <w:rPr>
          <w:rFonts w:ascii="Times New Roman"/>
        </w:rPr>
        <w:t>〕</w:t>
      </w:r>
      <w:r>
        <w:rPr>
          <w:rFonts w:ascii="Times New Roman"/>
        </w:rPr>
        <w:t>98</w:t>
      </w:r>
      <w:r>
        <w:rPr>
          <w:rFonts w:ascii="Times New Roman"/>
        </w:rPr>
        <w:t>号附件）国家卫生健康委员会</w:t>
      </w:r>
    </w:p>
    <w:p w:rsidR="0021102D" w:rsidRDefault="00A766D9">
      <w:pPr>
        <w:autoSpaceDE w:val="0"/>
        <w:autoSpaceDN w:val="0"/>
        <w:ind w:left="0" w:firstLineChars="200" w:firstLine="420"/>
        <w:jc w:val="both"/>
        <w:rPr>
          <w:rFonts w:ascii="Times New Roman" w:hAnsi="Times New Roman"/>
          <w:kern w:val="0"/>
          <w:szCs w:val="20"/>
        </w:rPr>
      </w:pPr>
      <w:r>
        <w:rPr>
          <w:rFonts w:ascii="Times New Roman" w:hAnsi="Times New Roman"/>
        </w:rPr>
        <w:t xml:space="preserve">[10] </w:t>
      </w:r>
      <w:r>
        <w:rPr>
          <w:rFonts w:ascii="Times New Roman" w:hAnsi="Times New Roman"/>
          <w:kern w:val="0"/>
          <w:szCs w:val="20"/>
        </w:rPr>
        <w:t>江苏省血站新进及转岗人员岗位培训指南</w:t>
      </w:r>
      <w:r>
        <w:rPr>
          <w:rFonts w:ascii="Times New Roman" w:hAnsi="Times New Roman"/>
          <w:kern w:val="0"/>
          <w:szCs w:val="20"/>
        </w:rPr>
        <w:t xml:space="preserve"> </w:t>
      </w:r>
      <w:r>
        <w:rPr>
          <w:rFonts w:ascii="Times New Roman" w:hAnsi="Times New Roman"/>
          <w:kern w:val="0"/>
          <w:szCs w:val="20"/>
        </w:rPr>
        <w:t>（苏卫办医政〔</w:t>
      </w:r>
      <w:r>
        <w:rPr>
          <w:rFonts w:ascii="Times New Roman" w:hAnsi="Times New Roman"/>
          <w:kern w:val="0"/>
          <w:szCs w:val="20"/>
        </w:rPr>
        <w:t>2019</w:t>
      </w:r>
      <w:r>
        <w:rPr>
          <w:rFonts w:ascii="Times New Roman" w:hAnsi="Times New Roman"/>
          <w:kern w:val="0"/>
          <w:szCs w:val="20"/>
        </w:rPr>
        <w:t>〕</w:t>
      </w:r>
      <w:r>
        <w:rPr>
          <w:rFonts w:ascii="Times New Roman" w:hAnsi="Times New Roman"/>
          <w:kern w:val="0"/>
          <w:szCs w:val="20"/>
        </w:rPr>
        <w:t xml:space="preserve">19 </w:t>
      </w:r>
      <w:r>
        <w:rPr>
          <w:rFonts w:ascii="Times New Roman" w:hAnsi="Times New Roman"/>
          <w:kern w:val="0"/>
          <w:szCs w:val="20"/>
        </w:rPr>
        <w:t>号）</w:t>
      </w:r>
      <w:r>
        <w:rPr>
          <w:rFonts w:ascii="Times New Roman" w:hAnsi="Times New Roman"/>
          <w:kern w:val="0"/>
          <w:szCs w:val="20"/>
        </w:rPr>
        <w:t xml:space="preserve"> </w:t>
      </w:r>
      <w:r>
        <w:rPr>
          <w:rFonts w:ascii="Times New Roman" w:hAnsi="Times New Roman"/>
          <w:kern w:val="0"/>
          <w:szCs w:val="20"/>
        </w:rPr>
        <w:t>江苏省卫生健康委员会</w:t>
      </w:r>
    </w:p>
    <w:p w:rsidR="0021102D" w:rsidRDefault="0021102D">
      <w:pPr>
        <w:pStyle w:val="affffe"/>
        <w:spacing w:line="320" w:lineRule="exact"/>
        <w:ind w:left="0" w:firstLineChars="0" w:firstLine="0"/>
        <w:rPr>
          <w:rFonts w:ascii="Times New Roman"/>
        </w:rPr>
      </w:pPr>
    </w:p>
    <w:p w:rsidR="0021102D" w:rsidRDefault="0021102D">
      <w:pPr>
        <w:pStyle w:val="af5"/>
        <w:numPr>
          <w:ilvl w:val="0"/>
          <w:numId w:val="0"/>
        </w:numPr>
      </w:pPr>
    </w:p>
    <w:p w:rsidR="0021102D" w:rsidRDefault="00A766D9">
      <w:pPr>
        <w:pStyle w:val="af5"/>
        <w:numPr>
          <w:ilvl w:val="0"/>
          <w:numId w:val="0"/>
        </w:numPr>
        <w:jc w:val="center"/>
      </w:pPr>
      <w:bookmarkStart w:id="122" w:name="BookMark8"/>
      <w:bookmarkEnd w:id="112"/>
      <w:r>
        <w:rPr>
          <w:rFonts w:hint="eastAsia"/>
          <w:noProof/>
        </w:rPr>
        <w:drawing>
          <wp:inline distT="0" distB="0" distL="0" distR="0" wp14:anchorId="4269F0BE" wp14:editId="7545785F">
            <wp:extent cx="1485900" cy="317500"/>
            <wp:effectExtent l="0" t="0" r="0" b="6350"/>
            <wp:docPr id="1047958671" name="图片 2"/>
            <wp:cNvGraphicFramePr/>
            <a:graphic xmlns:a="http://schemas.openxmlformats.org/drawingml/2006/main">
              <a:graphicData uri="http://schemas.openxmlformats.org/drawingml/2006/picture">
                <pic:pic xmlns:pic="http://schemas.openxmlformats.org/drawingml/2006/picture">
                  <pic:nvPicPr>
                    <pic:cNvPr id="1047958671" name="图片 2"/>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22"/>
    </w:p>
    <w:sectPr w:rsidR="0021102D">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7ED2" w:rsidRDefault="00827ED2">
      <w:r>
        <w:separator/>
      </w:r>
    </w:p>
  </w:endnote>
  <w:endnote w:type="continuationSeparator" w:id="0">
    <w:p w:rsidR="00827ED2" w:rsidRDefault="00827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02D" w:rsidRDefault="00A766D9">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02D" w:rsidRDefault="0021102D">
    <w:pPr>
      <w:pStyle w:val="af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02D" w:rsidRDefault="0021102D">
    <w:pPr>
      <w:pStyle w:val="afffc"/>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02D" w:rsidRDefault="00A766D9">
    <w:pPr>
      <w:pStyle w:val="affffb"/>
    </w:pPr>
    <w:r>
      <w:fldChar w:fldCharType="begin"/>
    </w:r>
    <w:r>
      <w:instrText>PAGE   \* MERGEFORMAT</w:instrText>
    </w:r>
    <w:r>
      <w:fldChar w:fldCharType="separate"/>
    </w:r>
    <w:r w:rsidR="00327460" w:rsidRPr="00327460">
      <w:rPr>
        <w:noProof/>
        <w:lang w:val="zh-CN"/>
      </w:rPr>
      <w:t>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7ED2" w:rsidRDefault="00827ED2">
      <w:r>
        <w:separator/>
      </w:r>
    </w:p>
  </w:footnote>
  <w:footnote w:type="continuationSeparator" w:id="0">
    <w:p w:rsidR="00827ED2" w:rsidRDefault="00827E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02D" w:rsidRDefault="0021102D">
    <w:pPr>
      <w:pStyle w:val="afff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02D" w:rsidRDefault="00A766D9">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02D" w:rsidRDefault="0021102D">
    <w:pPr>
      <w:pStyle w:val="afffd"/>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02D" w:rsidRDefault="00A766D9">
    <w:pPr>
      <w:pStyle w:val="afffd"/>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sidR="00327460">
      <w:rPr>
        <w:noProof/>
        <w:lang w:val="fr-FR"/>
      </w:rPr>
      <w:t>DB XX/T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02D" w:rsidRDefault="00A766D9">
    <w:pPr>
      <w:pStyle w:val="afffff3"/>
    </w:pPr>
    <w:r>
      <w:fldChar w:fldCharType="begin"/>
    </w:r>
    <w:r>
      <w:instrText xml:space="preserve"> STYLEREF  标准文件_文件编号  \* MERGEFORMAT </w:instrText>
    </w:r>
    <w:r>
      <w:fldChar w:fldCharType="separate"/>
    </w:r>
    <w:r w:rsidR="00327460">
      <w:rPr>
        <w:noProof/>
      </w:rPr>
      <w:t>DB XX/T XXXX</w:t>
    </w:r>
    <w:r w:rsidR="00327460">
      <w:rPr>
        <w:noProof/>
      </w:rPr>
      <w:t>—</w:t>
    </w:r>
    <w:r w:rsidR="00327460">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e9jWEbubvDZhTiEGP/EjvKaho4h1ZrVrPrUV5O6KroEBeO2eHlqo/tdDDSR6RHeOHBJ9RXO0gBVFPd1+C5jQkw==" w:salt="gQEAlpcqLuyrCpnAbcHmw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I3NWFiNzMyYWI4ODJjMjVmZTNjMjdiMWViNDJmZjEifQ=="/>
  </w:docVars>
  <w:rsids>
    <w:rsidRoot w:val="005E4238"/>
    <w:rsid w:val="0000040A"/>
    <w:rsid w:val="00000A94"/>
    <w:rsid w:val="00001972"/>
    <w:rsid w:val="00001D9A"/>
    <w:rsid w:val="00007B3A"/>
    <w:rsid w:val="000107E0"/>
    <w:rsid w:val="00011FDE"/>
    <w:rsid w:val="00012388"/>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670"/>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08D1"/>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25F0"/>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6731"/>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0660D"/>
    <w:rsid w:val="00210B15"/>
    <w:rsid w:val="0021102D"/>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6FF2"/>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17C87"/>
    <w:rsid w:val="003221B4"/>
    <w:rsid w:val="0032258D"/>
    <w:rsid w:val="00322E62"/>
    <w:rsid w:val="00324D13"/>
    <w:rsid w:val="00324D2A"/>
    <w:rsid w:val="00324EDD"/>
    <w:rsid w:val="00327460"/>
    <w:rsid w:val="003331E4"/>
    <w:rsid w:val="00336C64"/>
    <w:rsid w:val="00337162"/>
    <w:rsid w:val="003379DD"/>
    <w:rsid w:val="0034194F"/>
    <w:rsid w:val="00341993"/>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D9A"/>
    <w:rsid w:val="00390EE6"/>
    <w:rsid w:val="0039118F"/>
    <w:rsid w:val="00392AD7"/>
    <w:rsid w:val="003938D9"/>
    <w:rsid w:val="00394376"/>
    <w:rsid w:val="003943FF"/>
    <w:rsid w:val="00395700"/>
    <w:rsid w:val="003974EB"/>
    <w:rsid w:val="00397CC5"/>
    <w:rsid w:val="003A1582"/>
    <w:rsid w:val="003A223E"/>
    <w:rsid w:val="003A4077"/>
    <w:rsid w:val="003B09AD"/>
    <w:rsid w:val="003B1F18"/>
    <w:rsid w:val="003B4926"/>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30CC"/>
    <w:rsid w:val="00432DAA"/>
    <w:rsid w:val="00434305"/>
    <w:rsid w:val="00435DF7"/>
    <w:rsid w:val="0044083F"/>
    <w:rsid w:val="00441AE7"/>
    <w:rsid w:val="00445574"/>
    <w:rsid w:val="00446524"/>
    <w:rsid w:val="004467FB"/>
    <w:rsid w:val="00446E39"/>
    <w:rsid w:val="00452D6B"/>
    <w:rsid w:val="00454484"/>
    <w:rsid w:val="0045517B"/>
    <w:rsid w:val="00463B77"/>
    <w:rsid w:val="00463C7B"/>
    <w:rsid w:val="004644A6"/>
    <w:rsid w:val="004659BD"/>
    <w:rsid w:val="004666B6"/>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B725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1923"/>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77F38"/>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1E4E"/>
    <w:rsid w:val="005D4171"/>
    <w:rsid w:val="005D6A95"/>
    <w:rsid w:val="005D6B2C"/>
    <w:rsid w:val="005D6D9C"/>
    <w:rsid w:val="005E2335"/>
    <w:rsid w:val="005E34CA"/>
    <w:rsid w:val="005E3C18"/>
    <w:rsid w:val="005E4238"/>
    <w:rsid w:val="005E6812"/>
    <w:rsid w:val="005E7881"/>
    <w:rsid w:val="005E78E0"/>
    <w:rsid w:val="005F0D9C"/>
    <w:rsid w:val="005F284E"/>
    <w:rsid w:val="005F4712"/>
    <w:rsid w:val="005F66BC"/>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8C8"/>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879"/>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B76CB"/>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D71"/>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3304"/>
    <w:rsid w:val="00765C43"/>
    <w:rsid w:val="00765EFB"/>
    <w:rsid w:val="007671CA"/>
    <w:rsid w:val="00767C61"/>
    <w:rsid w:val="0077008A"/>
    <w:rsid w:val="0077213F"/>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3A5"/>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17A"/>
    <w:rsid w:val="00817325"/>
    <w:rsid w:val="008209E6"/>
    <w:rsid w:val="00821948"/>
    <w:rsid w:val="00823303"/>
    <w:rsid w:val="008233B2"/>
    <w:rsid w:val="00823A9F"/>
    <w:rsid w:val="00823C85"/>
    <w:rsid w:val="00825138"/>
    <w:rsid w:val="008269DD"/>
    <w:rsid w:val="00827ED2"/>
    <w:rsid w:val="00830621"/>
    <w:rsid w:val="0083348C"/>
    <w:rsid w:val="008373D3"/>
    <w:rsid w:val="00840617"/>
    <w:rsid w:val="00840F84"/>
    <w:rsid w:val="00842A47"/>
    <w:rsid w:val="00843C13"/>
    <w:rsid w:val="008454F8"/>
    <w:rsid w:val="00850812"/>
    <w:rsid w:val="0085173A"/>
    <w:rsid w:val="00855A62"/>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1339"/>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2008"/>
    <w:rsid w:val="009245F5"/>
    <w:rsid w:val="009249EC"/>
    <w:rsid w:val="009273B3"/>
    <w:rsid w:val="009305B5"/>
    <w:rsid w:val="009429D5"/>
    <w:rsid w:val="00942BF1"/>
    <w:rsid w:val="00942CB3"/>
    <w:rsid w:val="00945180"/>
    <w:rsid w:val="00945428"/>
    <w:rsid w:val="0094607B"/>
    <w:rsid w:val="00953604"/>
    <w:rsid w:val="0095496B"/>
    <w:rsid w:val="009610DC"/>
    <w:rsid w:val="00961490"/>
    <w:rsid w:val="0096381A"/>
    <w:rsid w:val="00965E04"/>
    <w:rsid w:val="009674AD"/>
    <w:rsid w:val="00970CDC"/>
    <w:rsid w:val="0097482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880"/>
    <w:rsid w:val="009B09E0"/>
    <w:rsid w:val="009B0BC5"/>
    <w:rsid w:val="009B1247"/>
    <w:rsid w:val="009B46F9"/>
    <w:rsid w:val="009B6029"/>
    <w:rsid w:val="009B6627"/>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E7E93"/>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1731"/>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46913"/>
    <w:rsid w:val="00A528CD"/>
    <w:rsid w:val="00A55BD6"/>
    <w:rsid w:val="00A55D50"/>
    <w:rsid w:val="00A57142"/>
    <w:rsid w:val="00A648CD"/>
    <w:rsid w:val="00A6537A"/>
    <w:rsid w:val="00A67866"/>
    <w:rsid w:val="00A70B07"/>
    <w:rsid w:val="00A723F8"/>
    <w:rsid w:val="00A766D9"/>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4FA7"/>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37F5A"/>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089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4ED"/>
    <w:rsid w:val="00C25FE2"/>
    <w:rsid w:val="00C26B53"/>
    <w:rsid w:val="00C279B2"/>
    <w:rsid w:val="00C33E50"/>
    <w:rsid w:val="00C34C20"/>
    <w:rsid w:val="00C35A3E"/>
    <w:rsid w:val="00C42130"/>
    <w:rsid w:val="00C423A4"/>
    <w:rsid w:val="00C44BF5"/>
    <w:rsid w:val="00C521D6"/>
    <w:rsid w:val="00C53545"/>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497F"/>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E4124"/>
    <w:rsid w:val="00CF048A"/>
    <w:rsid w:val="00CF155A"/>
    <w:rsid w:val="00CF2947"/>
    <w:rsid w:val="00CF3007"/>
    <w:rsid w:val="00CF5CDE"/>
    <w:rsid w:val="00CF686F"/>
    <w:rsid w:val="00CF6E60"/>
    <w:rsid w:val="00CF7BCA"/>
    <w:rsid w:val="00D008FD"/>
    <w:rsid w:val="00D03081"/>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094A"/>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1D59"/>
    <w:rsid w:val="00E0268D"/>
    <w:rsid w:val="00E02DFB"/>
    <w:rsid w:val="00E030F9"/>
    <w:rsid w:val="00E0311A"/>
    <w:rsid w:val="00E03138"/>
    <w:rsid w:val="00E061F5"/>
    <w:rsid w:val="00E06404"/>
    <w:rsid w:val="00E065D2"/>
    <w:rsid w:val="00E11A85"/>
    <w:rsid w:val="00E12495"/>
    <w:rsid w:val="00E15CCD"/>
    <w:rsid w:val="00E16930"/>
    <w:rsid w:val="00E202EF"/>
    <w:rsid w:val="00E210B5"/>
    <w:rsid w:val="00E23D99"/>
    <w:rsid w:val="00E2552F"/>
    <w:rsid w:val="00E304CF"/>
    <w:rsid w:val="00E3137A"/>
    <w:rsid w:val="00E32CCF"/>
    <w:rsid w:val="00E34A98"/>
    <w:rsid w:val="00E35D1E"/>
    <w:rsid w:val="00E364F9"/>
    <w:rsid w:val="00E365FA"/>
    <w:rsid w:val="00E36789"/>
    <w:rsid w:val="00E44A83"/>
    <w:rsid w:val="00E50064"/>
    <w:rsid w:val="00E502C1"/>
    <w:rsid w:val="00E502DD"/>
    <w:rsid w:val="00E50D3A"/>
    <w:rsid w:val="00E51387"/>
    <w:rsid w:val="00E51E68"/>
    <w:rsid w:val="00E52EFD"/>
    <w:rsid w:val="00E5408A"/>
    <w:rsid w:val="00E54F71"/>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37E4"/>
    <w:rsid w:val="00F06D37"/>
    <w:rsid w:val="00F07B9D"/>
    <w:rsid w:val="00F11586"/>
    <w:rsid w:val="00F1183B"/>
    <w:rsid w:val="00F11C9F"/>
    <w:rsid w:val="00F12263"/>
    <w:rsid w:val="00F1409D"/>
    <w:rsid w:val="00F14214"/>
    <w:rsid w:val="00F157A9"/>
    <w:rsid w:val="00F215D1"/>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3770"/>
    <w:rsid w:val="00F6412A"/>
    <w:rsid w:val="00F65893"/>
    <w:rsid w:val="00F66A4A"/>
    <w:rsid w:val="00F6751F"/>
    <w:rsid w:val="00F71E22"/>
    <w:rsid w:val="00F72142"/>
    <w:rsid w:val="00F72AE7"/>
    <w:rsid w:val="00F81141"/>
    <w:rsid w:val="00F833BA"/>
    <w:rsid w:val="00F84FD0"/>
    <w:rsid w:val="00F859A8"/>
    <w:rsid w:val="00F86D87"/>
    <w:rsid w:val="00F9108B"/>
    <w:rsid w:val="00F91349"/>
    <w:rsid w:val="00F91D5C"/>
    <w:rsid w:val="00F93A8A"/>
    <w:rsid w:val="00F95248"/>
    <w:rsid w:val="00F956A9"/>
    <w:rsid w:val="00F963ED"/>
    <w:rsid w:val="00F966CF"/>
    <w:rsid w:val="00F96CAE"/>
    <w:rsid w:val="00F97C99"/>
    <w:rsid w:val="00FA4DAC"/>
    <w:rsid w:val="00FA662D"/>
    <w:rsid w:val="00FA73B1"/>
    <w:rsid w:val="00FB0CB9"/>
    <w:rsid w:val="00FB231D"/>
    <w:rsid w:val="00FB454B"/>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67CC"/>
    <w:rsid w:val="00FE7E79"/>
    <w:rsid w:val="00FF3E7D"/>
    <w:rsid w:val="00FF5B99"/>
    <w:rsid w:val="00FF730C"/>
    <w:rsid w:val="00FF73F4"/>
    <w:rsid w:val="00FF7CE4"/>
    <w:rsid w:val="00FF7E39"/>
    <w:rsid w:val="011003C7"/>
    <w:rsid w:val="0BD41CAF"/>
    <w:rsid w:val="1DF407C3"/>
    <w:rsid w:val="24324A7C"/>
    <w:rsid w:val="2CB13EFC"/>
    <w:rsid w:val="32942280"/>
    <w:rsid w:val="349C1250"/>
    <w:rsid w:val="34F37AFC"/>
    <w:rsid w:val="39526F7A"/>
    <w:rsid w:val="41C177C4"/>
    <w:rsid w:val="42E87247"/>
    <w:rsid w:val="44D30F3E"/>
    <w:rsid w:val="4E4F2988"/>
    <w:rsid w:val="54C10647"/>
    <w:rsid w:val="632A5CF6"/>
    <w:rsid w:val="63ED29F1"/>
    <w:rsid w:val="6FAB4F8B"/>
    <w:rsid w:val="773B421D"/>
    <w:rsid w:val="7A2B5AAF"/>
    <w:rsid w:val="7BC07194"/>
    <w:rsid w:val="7D9C2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ind w:left="425" w:hanging="425"/>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spacing w:before="280" w:after="290" w:line="376" w:lineRule="auto"/>
      <w:outlineLvl w:val="4"/>
    </w:pPr>
    <w:rPr>
      <w:b/>
      <w:bCs/>
      <w:sz w:val="28"/>
      <w:szCs w:val="28"/>
    </w:rPr>
  </w:style>
  <w:style w:type="paragraph" w:styleId="6">
    <w:name w:val="heading 6"/>
    <w:basedOn w:val="afff5"/>
    <w:next w:val="afff5"/>
    <w:link w:val="6Char"/>
    <w:qFormat/>
    <w:pPr>
      <w:keepNext/>
      <w:keepLines/>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spacing w:before="240" w:after="64" w:line="320" w:lineRule="auto"/>
      <w:outlineLvl w:val="6"/>
    </w:pPr>
    <w:rPr>
      <w:b/>
      <w:bCs/>
      <w:sz w:val="24"/>
      <w:szCs w:val="24"/>
    </w:rPr>
  </w:style>
  <w:style w:type="paragraph" w:styleId="8">
    <w:name w:val="heading 8"/>
    <w:basedOn w:val="afff5"/>
    <w:next w:val="afff5"/>
    <w:link w:val="8Char"/>
    <w:qFormat/>
    <w:pPr>
      <w:keepNext/>
      <w:keepLines/>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spacing w:before="240" w:after="64" w:line="320" w:lineRule="auto"/>
      <w:outlineLvl w:val="8"/>
    </w:pPr>
    <w:rPr>
      <w:rFonts w:ascii="Arial" w:eastAsia="黑体" w:hAnsi="Arial"/>
    </w:rPr>
  </w:style>
  <w:style w:type="character" w:default="1" w:styleId="afff6">
    <w:name w:val="Default Paragraph Font"/>
    <w:uiPriority w:val="1"/>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snapToGrid w:val="0"/>
      <w:jc w:val="right"/>
    </w:pPr>
    <w:rPr>
      <w:rFonts w:ascii="宋体"/>
      <w:sz w:val="18"/>
      <w:szCs w:val="18"/>
    </w:rPr>
  </w:style>
  <w:style w:type="paragraph" w:styleId="afffd">
    <w:name w:val="header"/>
    <w:basedOn w:val="afff5"/>
    <w:link w:val="Char2"/>
    <w:uiPriority w:val="99"/>
    <w:qFormat/>
    <w:pPr>
      <w:tabs>
        <w:tab w:val="center" w:pos="4153"/>
        <w:tab w:val="right" w:pos="8306"/>
      </w:tabs>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snapToGrid w:val="0"/>
      <w:spacing w:line="300" w:lineRule="exact"/>
      <w:ind w:leftChars="200" w:left="400" w:hangingChars="200" w:hanging="200"/>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
    <w:name w:val="table of figures"/>
    <w:basedOn w:val="afff5"/>
    <w:next w:val="afff5"/>
    <w:semiHidden/>
    <w:qFormat/>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ind w:left="425" w:hanging="425"/>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ind w:left="425" w:hanging="425"/>
      <w:jc w:val="distribute"/>
    </w:pPr>
    <w:rPr>
      <w:rFonts w:ascii="宋体" w:hAnsi="Times New Roman"/>
      <w:b/>
      <w:bCs/>
      <w:w w:val="148"/>
      <w:sz w:val="52"/>
    </w:rPr>
  </w:style>
  <w:style w:type="paragraph" w:customStyle="1" w:styleId="affffa">
    <w:name w:val="标准文件_页脚偶数页"/>
    <w:qFormat/>
    <w:pPr>
      <w:ind w:left="198" w:hanging="425"/>
    </w:pPr>
    <w:rPr>
      <w:rFonts w:ascii="宋体" w:hAnsi="Times New Roman"/>
      <w:sz w:val="18"/>
    </w:rPr>
  </w:style>
  <w:style w:type="paragraph" w:customStyle="1" w:styleId="affffb">
    <w:name w:val="标准文件_页脚奇数页"/>
    <w:qFormat/>
    <w:pPr>
      <w:ind w:left="425" w:right="227" w:hanging="425"/>
      <w:jc w:val="right"/>
    </w:pPr>
    <w:rPr>
      <w:rFonts w:ascii="宋体" w:hAnsi="Times New Roman"/>
      <w:sz w:val="18"/>
    </w:rPr>
  </w:style>
  <w:style w:type="paragraph" w:customStyle="1" w:styleId="affffc">
    <w:name w:val="标准书眉一"/>
    <w:qFormat/>
    <w:pPr>
      <w:ind w:left="425" w:hanging="425"/>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left="425" w:firstLineChars="200" w:firstLine="200"/>
      <w:jc w:val="both"/>
    </w:pPr>
    <w:rPr>
      <w:rFonts w:ascii="宋体" w:hAnsi="Times New Roman"/>
      <w:sz w:val="21"/>
    </w:rPr>
  </w:style>
  <w:style w:type="paragraph" w:customStyle="1" w:styleId="afffff">
    <w:name w:val="标准文件_版本"/>
    <w:basedOn w:val="affffd"/>
    <w:qFormat/>
    <w:pPr>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shd w:val="clear" w:color="FFFFFF" w:fill="FFFFFF"/>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ind w:left="425" w:hanging="425"/>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shd w:val="clear" w:color="FFFFFF" w:fill="FFFFFF"/>
      <w:spacing w:before="580" w:afterLines="50" w:after="50"/>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jc w:val="center"/>
    </w:pPr>
    <w:rPr>
      <w:rFonts w:ascii="黑体" w:eastAsia="黑体"/>
      <w:kern w:val="0"/>
      <w:sz w:val="52"/>
    </w:rPr>
  </w:style>
  <w:style w:type="paragraph" w:customStyle="1" w:styleId="afffffa">
    <w:name w:val="标准文件_封面标准英文名称"/>
    <w:basedOn w:val="afff5"/>
    <w:qFormat/>
    <w:pPr>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ind w:left="425" w:hanging="425"/>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ind w:left="426"/>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ind w:left="425" w:hanging="425"/>
      <w:jc w:val="center"/>
      <w:outlineLvl w:val="0"/>
    </w:pPr>
    <w:rPr>
      <w:rFonts w:ascii="黑体" w:eastAsia="黑体" w:hAnsi="Times New Roman"/>
      <w:sz w:val="32"/>
    </w:rPr>
  </w:style>
  <w:style w:type="paragraph" w:customStyle="1" w:styleId="affffff9">
    <w:name w:val="标准文件_英文图表脚注"/>
    <w:basedOn w:val="affffd"/>
    <w:qFormat/>
    <w:pPr>
      <w:snapToGrid/>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hAnsi="Times New Roman"/>
      <w:sz w:val="21"/>
    </w:rPr>
  </w:style>
  <w:style w:type="paragraph" w:customStyle="1" w:styleId="af">
    <w:name w:val="标准文件_英文注："/>
    <w:basedOn w:val="afff5"/>
    <w:next w:val="affffe"/>
    <w:qFormat/>
    <w:pPr>
      <w:numPr>
        <w:numId w:val="14"/>
      </w:numPr>
      <w:tabs>
        <w:tab w:val="left" w:pos="420"/>
      </w:tabs>
      <w:autoSpaceDE w:val="0"/>
      <w:autoSpaceDN w:val="0"/>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qFormat/>
    <w:pPr>
      <w:tabs>
        <w:tab w:val="center" w:pos="4678"/>
        <w:tab w:val="right" w:leader="middleDot" w:pos="9356"/>
      </w:tabs>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qFormat/>
    <w:pPr>
      <w:numPr>
        <w:numId w:val="18"/>
      </w:numPr>
      <w:jc w:val="center"/>
    </w:pPr>
    <w:rPr>
      <w:rFonts w:ascii="黑体" w:eastAsia="黑体" w:hAnsi="Times New Roman"/>
      <w:sz w:val="21"/>
    </w:rPr>
  </w:style>
  <w:style w:type="paragraph" w:customStyle="1" w:styleId="afb">
    <w:name w:val="标准文件_正文英文图标题"/>
    <w:next w:val="affffe"/>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tabs>
        <w:tab w:val="left" w:pos="851"/>
      </w:tabs>
    </w:pPr>
    <w:rPr>
      <w:rFonts w:ascii="宋体" w:hAnsi="Times New Roman"/>
      <w:sz w:val="21"/>
    </w:rPr>
  </w:style>
  <w:style w:type="paragraph" w:customStyle="1" w:styleId="a1">
    <w:name w:val="二级无标题条"/>
    <w:basedOn w:val="afff5"/>
    <w:qFormat/>
    <w:pPr>
      <w:numPr>
        <w:ilvl w:val="3"/>
        <w:numId w:val="20"/>
      </w:numPr>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ind w:left="425" w:hanging="425"/>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ind w:left="425" w:hanging="425"/>
    </w:pPr>
    <w:rPr>
      <w:rFonts w:ascii="Times New Roman" w:eastAsia="黑体" w:hAnsi="Times New Roman"/>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ind w:left="425" w:hanging="425"/>
      <w:jc w:val="center"/>
      <w:textAlignment w:val="center"/>
    </w:pPr>
    <w:rPr>
      <w:rFonts w:ascii="黑体" w:eastAsia="黑体" w:hAnsi="Times New Roman"/>
      <w:sz w:val="52"/>
    </w:rPr>
  </w:style>
  <w:style w:type="paragraph" w:customStyle="1" w:styleId="afffffff">
    <w:name w:val="封面标准文稿编辑信息"/>
    <w:qFormat/>
    <w:pPr>
      <w:spacing w:before="180" w:line="180" w:lineRule="exact"/>
      <w:ind w:left="425" w:hanging="425"/>
      <w:jc w:val="center"/>
    </w:pPr>
    <w:rPr>
      <w:rFonts w:ascii="宋体" w:hAnsi="Times New Roman"/>
      <w:sz w:val="21"/>
    </w:rPr>
  </w:style>
  <w:style w:type="paragraph" w:customStyle="1" w:styleId="afffffff0">
    <w:name w:val="封面标准文稿类别"/>
    <w:qFormat/>
    <w:pPr>
      <w:spacing w:before="440" w:line="400" w:lineRule="exact"/>
      <w:ind w:left="425" w:hanging="425"/>
      <w:jc w:val="center"/>
    </w:pPr>
    <w:rPr>
      <w:rFonts w:ascii="宋体" w:hAnsi="Times New Roman"/>
      <w:sz w:val="24"/>
    </w:rPr>
  </w:style>
  <w:style w:type="paragraph" w:customStyle="1" w:styleId="afffffff1">
    <w:name w:val="封面标准英文名称"/>
    <w:qFormat/>
    <w:pPr>
      <w:widowControl w:val="0"/>
      <w:spacing w:line="360" w:lineRule="exact"/>
      <w:ind w:left="425" w:hanging="425"/>
      <w:jc w:val="center"/>
    </w:pPr>
    <w:rPr>
      <w:rFonts w:ascii="Times New Roman" w:hAnsi="Times New Roman"/>
      <w:sz w:val="28"/>
    </w:rPr>
  </w:style>
  <w:style w:type="paragraph" w:customStyle="1" w:styleId="afffffff2">
    <w:name w:val="封面一致性程度标识"/>
    <w:qFormat/>
    <w:pPr>
      <w:spacing w:before="440" w:line="440" w:lineRule="exact"/>
      <w:ind w:left="425" w:hanging="425"/>
      <w:jc w:val="center"/>
    </w:pPr>
    <w:rPr>
      <w:rFonts w:ascii="Times New Roman" w:hAnsi="Times New Roman"/>
      <w:sz w:val="28"/>
    </w:rPr>
  </w:style>
  <w:style w:type="paragraph" w:customStyle="1" w:styleId="afffffff3">
    <w:name w:val="封面正文"/>
    <w:qFormat/>
    <w:pPr>
      <w:ind w:left="425" w:hanging="425"/>
      <w:jc w:val="both"/>
    </w:pPr>
    <w:rPr>
      <w:rFonts w:ascii="Times New Roman" w:hAnsi="Times New Roman"/>
    </w:rPr>
  </w:style>
  <w:style w:type="paragraph" w:customStyle="1" w:styleId="afffffff4">
    <w:name w:val="附录二级无标题条"/>
    <w:basedOn w:val="afff5"/>
    <w:next w:val="affffe"/>
    <w:qFormat/>
    <w:pPr>
      <w:wordWrap w:val="0"/>
      <w:overflowPunct w:val="0"/>
      <w:autoSpaceDE w:val="0"/>
      <w:autoSpaceDN w:val="0"/>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ind w:left="425" w:hanging="425"/>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hanging="425"/>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ind w:left="425" w:hanging="425"/>
      <w:jc w:val="both"/>
    </w:pPr>
    <w:rPr>
      <w:rFonts w:ascii="宋体" w:hAnsi="Times New Roman"/>
      <w:sz w:val="21"/>
    </w:rPr>
  </w:style>
  <w:style w:type="paragraph" w:customStyle="1" w:styleId="210">
    <w:name w:val="目录 21"/>
    <w:basedOn w:val="afff5"/>
    <w:next w:val="afff5"/>
    <w:semiHidden/>
    <w:qFormat/>
    <w:rPr>
      <w:bCs/>
      <w:iCs/>
    </w:rPr>
  </w:style>
  <w:style w:type="paragraph" w:customStyle="1" w:styleId="31">
    <w:name w:val="目录 31"/>
    <w:basedOn w:val="afff5"/>
    <w:next w:val="afff5"/>
    <w:semiHidden/>
    <w:qFormat/>
    <w:rPr>
      <w:rFonts w:ascii="宋体" w:hAnsi="宋体"/>
      <w:iCs/>
    </w:rPr>
  </w:style>
  <w:style w:type="paragraph" w:customStyle="1" w:styleId="41">
    <w:name w:val="目录 41"/>
    <w:basedOn w:val="afff5"/>
    <w:next w:val="afff5"/>
    <w:semiHidden/>
    <w:qFormat/>
  </w:style>
  <w:style w:type="paragraph" w:customStyle="1" w:styleId="51">
    <w:name w:val="目录 51"/>
    <w:basedOn w:val="afff5"/>
    <w:next w:val="afff5"/>
    <w:semiHidden/>
    <w:qFormat/>
    <w:rPr>
      <w:rFonts w:ascii="宋体" w:hAnsi="宋体"/>
    </w:rPr>
  </w:style>
  <w:style w:type="paragraph" w:customStyle="1" w:styleId="61">
    <w:name w:val="目录 61"/>
    <w:basedOn w:val="afff5"/>
    <w:next w:val="afff5"/>
    <w:semiHidden/>
    <w:qFormat/>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0">
    <w:name w:val="其他标准称谓"/>
    <w:qFormat/>
    <w:pPr>
      <w:spacing w:line="0" w:lineRule="atLeast"/>
      <w:ind w:left="425" w:hanging="425"/>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pPr>
    <w:rPr>
      <w:rFonts w:ascii="宋体" w:hAnsi="宋体"/>
      <w:szCs w:val="24"/>
    </w:rPr>
  </w:style>
  <w:style w:type="paragraph" w:customStyle="1" w:styleId="affffffff3">
    <w:name w:val="文献分类号"/>
    <w:qFormat/>
    <w:pPr>
      <w:framePr w:hSpace="180" w:vSpace="180" w:wrap="around" w:hAnchor="margin" w:y="1" w:anchorLock="1"/>
      <w:widowControl w:val="0"/>
      <w:ind w:left="425" w:hanging="425"/>
      <w:textAlignment w:val="center"/>
    </w:pPr>
    <w:rPr>
      <w:rFonts w:ascii="Times New Roman" w:eastAsia="黑体" w:hAnsi="Times New Roman"/>
      <w:sz w:val="21"/>
    </w:rPr>
  </w:style>
  <w:style w:type="paragraph" w:customStyle="1" w:styleId="affffffff4">
    <w:name w:val="无标题条"/>
    <w:next w:val="affffe"/>
    <w:qFormat/>
    <w:pPr>
      <w:ind w:left="425" w:hanging="425"/>
      <w:jc w:val="both"/>
    </w:pPr>
    <w:rPr>
      <w:rFonts w:ascii="宋体" w:hAnsi="宋体"/>
      <w:sz w:val="21"/>
    </w:rPr>
  </w:style>
  <w:style w:type="paragraph" w:customStyle="1" w:styleId="a4">
    <w:name w:val="五级无标题条"/>
    <w:basedOn w:val="afff5"/>
    <w:qFormat/>
    <w:pPr>
      <w:numPr>
        <w:ilvl w:val="6"/>
        <w:numId w:val="20"/>
      </w:numPr>
    </w:pPr>
    <w:rPr>
      <w:szCs w:val="24"/>
    </w:rPr>
  </w:style>
  <w:style w:type="paragraph" w:customStyle="1" w:styleId="a0">
    <w:name w:val="一级无标题条"/>
    <w:basedOn w:val="afff5"/>
    <w:qFormat/>
    <w:pPr>
      <w:numPr>
        <w:ilvl w:val="2"/>
        <w:numId w:val="20"/>
      </w:numPr>
      <w:spacing w:before="10" w:after="10"/>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pPr>
      <w:ind w:left="425" w:hanging="425"/>
    </w:pPr>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
    <w:name w:val="标准文件_索引字母"/>
    <w:next w:val="affffe"/>
    <w:qFormat/>
    <w:pPr>
      <w:ind w:left="425" w:hanging="425"/>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left="425" w:firstLine="200"/>
    </w:pPr>
    <w:rPr>
      <w:rFonts w:ascii="宋体" w:hAnsi="宋体"/>
      <w:kern w:val="2"/>
      <w:sz w:val="10"/>
    </w:rPr>
  </w:style>
  <w:style w:type="paragraph" w:customStyle="1" w:styleId="afffffffff1">
    <w:name w:val="标准文件_正文标准名称"/>
    <w:qFormat/>
    <w:pPr>
      <w:spacing w:before="560" w:after="640" w:line="400" w:lineRule="exact"/>
      <w:ind w:left="425" w:hanging="425"/>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numPr>
        <w:numId w:val="29"/>
      </w:numPr>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left="425"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ind w:left="425" w:hanging="425"/>
    </w:pPr>
    <w:rPr>
      <w:rFonts w:ascii="宋体"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ind w:left="425" w:hanging="425"/>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spacing w:before="280" w:after="290" w:line="376" w:lineRule="auto"/>
      <w:outlineLvl w:val="4"/>
    </w:pPr>
    <w:rPr>
      <w:b/>
      <w:bCs/>
      <w:sz w:val="28"/>
      <w:szCs w:val="28"/>
    </w:rPr>
  </w:style>
  <w:style w:type="paragraph" w:styleId="6">
    <w:name w:val="heading 6"/>
    <w:basedOn w:val="afff5"/>
    <w:next w:val="afff5"/>
    <w:link w:val="6Char"/>
    <w:qFormat/>
    <w:pPr>
      <w:keepNext/>
      <w:keepLines/>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spacing w:before="240" w:after="64" w:line="320" w:lineRule="auto"/>
      <w:outlineLvl w:val="6"/>
    </w:pPr>
    <w:rPr>
      <w:b/>
      <w:bCs/>
      <w:sz w:val="24"/>
      <w:szCs w:val="24"/>
    </w:rPr>
  </w:style>
  <w:style w:type="paragraph" w:styleId="8">
    <w:name w:val="heading 8"/>
    <w:basedOn w:val="afff5"/>
    <w:next w:val="afff5"/>
    <w:link w:val="8Char"/>
    <w:qFormat/>
    <w:pPr>
      <w:keepNext/>
      <w:keepLines/>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spacing w:before="240" w:after="64" w:line="320" w:lineRule="auto"/>
      <w:outlineLvl w:val="8"/>
    </w:pPr>
    <w:rPr>
      <w:rFonts w:ascii="Arial" w:eastAsia="黑体" w:hAnsi="Arial"/>
    </w:rPr>
  </w:style>
  <w:style w:type="character" w:default="1" w:styleId="afff6">
    <w:name w:val="Default Paragraph Font"/>
    <w:uiPriority w:val="1"/>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snapToGrid w:val="0"/>
      <w:jc w:val="right"/>
    </w:pPr>
    <w:rPr>
      <w:rFonts w:ascii="宋体"/>
      <w:sz w:val="18"/>
      <w:szCs w:val="18"/>
    </w:rPr>
  </w:style>
  <w:style w:type="paragraph" w:styleId="afffd">
    <w:name w:val="header"/>
    <w:basedOn w:val="afff5"/>
    <w:link w:val="Char2"/>
    <w:uiPriority w:val="99"/>
    <w:qFormat/>
    <w:pPr>
      <w:tabs>
        <w:tab w:val="center" w:pos="4153"/>
        <w:tab w:val="right" w:pos="8306"/>
      </w:tabs>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snapToGrid w:val="0"/>
      <w:spacing w:line="300" w:lineRule="exact"/>
      <w:ind w:leftChars="200" w:left="400" w:hangingChars="200" w:hanging="200"/>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
    <w:name w:val="table of figures"/>
    <w:basedOn w:val="afff5"/>
    <w:next w:val="afff5"/>
    <w:semiHidden/>
    <w:qFormat/>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ind w:left="425" w:hanging="425"/>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ind w:left="425" w:hanging="425"/>
      <w:jc w:val="distribute"/>
    </w:pPr>
    <w:rPr>
      <w:rFonts w:ascii="宋体" w:hAnsi="Times New Roman"/>
      <w:b/>
      <w:bCs/>
      <w:w w:val="148"/>
      <w:sz w:val="52"/>
    </w:rPr>
  </w:style>
  <w:style w:type="paragraph" w:customStyle="1" w:styleId="affffa">
    <w:name w:val="标准文件_页脚偶数页"/>
    <w:qFormat/>
    <w:pPr>
      <w:ind w:left="198" w:hanging="425"/>
    </w:pPr>
    <w:rPr>
      <w:rFonts w:ascii="宋体" w:hAnsi="Times New Roman"/>
      <w:sz w:val="18"/>
    </w:rPr>
  </w:style>
  <w:style w:type="paragraph" w:customStyle="1" w:styleId="affffb">
    <w:name w:val="标准文件_页脚奇数页"/>
    <w:qFormat/>
    <w:pPr>
      <w:ind w:left="425" w:right="227" w:hanging="425"/>
      <w:jc w:val="right"/>
    </w:pPr>
    <w:rPr>
      <w:rFonts w:ascii="宋体" w:hAnsi="Times New Roman"/>
      <w:sz w:val="18"/>
    </w:rPr>
  </w:style>
  <w:style w:type="paragraph" w:customStyle="1" w:styleId="affffc">
    <w:name w:val="标准书眉一"/>
    <w:qFormat/>
    <w:pPr>
      <w:ind w:left="425" w:hanging="425"/>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left="425" w:firstLineChars="200" w:firstLine="200"/>
      <w:jc w:val="both"/>
    </w:pPr>
    <w:rPr>
      <w:rFonts w:ascii="宋体" w:hAnsi="Times New Roman"/>
      <w:sz w:val="21"/>
    </w:rPr>
  </w:style>
  <w:style w:type="paragraph" w:customStyle="1" w:styleId="afffff">
    <w:name w:val="标准文件_版本"/>
    <w:basedOn w:val="affffd"/>
    <w:qFormat/>
    <w:pPr>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shd w:val="clear" w:color="FFFFFF" w:fill="FFFFFF"/>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ind w:left="425" w:hanging="425"/>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shd w:val="clear" w:color="FFFFFF" w:fill="FFFFFF"/>
      <w:spacing w:before="580" w:afterLines="50" w:after="50"/>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jc w:val="center"/>
    </w:pPr>
    <w:rPr>
      <w:rFonts w:ascii="黑体" w:eastAsia="黑体"/>
      <w:kern w:val="0"/>
      <w:sz w:val="52"/>
    </w:rPr>
  </w:style>
  <w:style w:type="paragraph" w:customStyle="1" w:styleId="afffffa">
    <w:name w:val="标准文件_封面标准英文名称"/>
    <w:basedOn w:val="afff5"/>
    <w:qFormat/>
    <w:pPr>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ind w:left="425" w:hanging="425"/>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ind w:left="426"/>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ind w:left="425" w:hanging="425"/>
      <w:jc w:val="center"/>
      <w:outlineLvl w:val="0"/>
    </w:pPr>
    <w:rPr>
      <w:rFonts w:ascii="黑体" w:eastAsia="黑体" w:hAnsi="Times New Roman"/>
      <w:sz w:val="32"/>
    </w:rPr>
  </w:style>
  <w:style w:type="paragraph" w:customStyle="1" w:styleId="affffff9">
    <w:name w:val="标准文件_英文图表脚注"/>
    <w:basedOn w:val="affffd"/>
    <w:qFormat/>
    <w:pPr>
      <w:snapToGrid/>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hAnsi="Times New Roman"/>
      <w:sz w:val="21"/>
    </w:rPr>
  </w:style>
  <w:style w:type="paragraph" w:customStyle="1" w:styleId="af">
    <w:name w:val="标准文件_英文注："/>
    <w:basedOn w:val="afff5"/>
    <w:next w:val="affffe"/>
    <w:qFormat/>
    <w:pPr>
      <w:numPr>
        <w:numId w:val="14"/>
      </w:numPr>
      <w:tabs>
        <w:tab w:val="left" w:pos="420"/>
      </w:tabs>
      <w:autoSpaceDE w:val="0"/>
      <w:autoSpaceDN w:val="0"/>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qFormat/>
    <w:pPr>
      <w:tabs>
        <w:tab w:val="center" w:pos="4678"/>
        <w:tab w:val="right" w:leader="middleDot" w:pos="9356"/>
      </w:tabs>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qFormat/>
    <w:pPr>
      <w:numPr>
        <w:numId w:val="18"/>
      </w:numPr>
      <w:jc w:val="center"/>
    </w:pPr>
    <w:rPr>
      <w:rFonts w:ascii="黑体" w:eastAsia="黑体" w:hAnsi="Times New Roman"/>
      <w:sz w:val="21"/>
    </w:rPr>
  </w:style>
  <w:style w:type="paragraph" w:customStyle="1" w:styleId="afb">
    <w:name w:val="标准文件_正文英文图标题"/>
    <w:next w:val="affffe"/>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tabs>
        <w:tab w:val="left" w:pos="851"/>
      </w:tabs>
    </w:pPr>
    <w:rPr>
      <w:rFonts w:ascii="宋体" w:hAnsi="Times New Roman"/>
      <w:sz w:val="21"/>
    </w:rPr>
  </w:style>
  <w:style w:type="paragraph" w:customStyle="1" w:styleId="a1">
    <w:name w:val="二级无标题条"/>
    <w:basedOn w:val="afff5"/>
    <w:qFormat/>
    <w:pPr>
      <w:numPr>
        <w:ilvl w:val="3"/>
        <w:numId w:val="20"/>
      </w:numPr>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ind w:left="425" w:hanging="425"/>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ind w:left="425" w:hanging="425"/>
    </w:pPr>
    <w:rPr>
      <w:rFonts w:ascii="Times New Roman" w:eastAsia="黑体" w:hAnsi="Times New Roman"/>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ind w:left="425" w:hanging="425"/>
      <w:jc w:val="center"/>
      <w:textAlignment w:val="center"/>
    </w:pPr>
    <w:rPr>
      <w:rFonts w:ascii="黑体" w:eastAsia="黑体" w:hAnsi="Times New Roman"/>
      <w:sz w:val="52"/>
    </w:rPr>
  </w:style>
  <w:style w:type="paragraph" w:customStyle="1" w:styleId="afffffff">
    <w:name w:val="封面标准文稿编辑信息"/>
    <w:qFormat/>
    <w:pPr>
      <w:spacing w:before="180" w:line="180" w:lineRule="exact"/>
      <w:ind w:left="425" w:hanging="425"/>
      <w:jc w:val="center"/>
    </w:pPr>
    <w:rPr>
      <w:rFonts w:ascii="宋体" w:hAnsi="Times New Roman"/>
      <w:sz w:val="21"/>
    </w:rPr>
  </w:style>
  <w:style w:type="paragraph" w:customStyle="1" w:styleId="afffffff0">
    <w:name w:val="封面标准文稿类别"/>
    <w:qFormat/>
    <w:pPr>
      <w:spacing w:before="440" w:line="400" w:lineRule="exact"/>
      <w:ind w:left="425" w:hanging="425"/>
      <w:jc w:val="center"/>
    </w:pPr>
    <w:rPr>
      <w:rFonts w:ascii="宋体" w:hAnsi="Times New Roman"/>
      <w:sz w:val="24"/>
    </w:rPr>
  </w:style>
  <w:style w:type="paragraph" w:customStyle="1" w:styleId="afffffff1">
    <w:name w:val="封面标准英文名称"/>
    <w:qFormat/>
    <w:pPr>
      <w:widowControl w:val="0"/>
      <w:spacing w:line="360" w:lineRule="exact"/>
      <w:ind w:left="425" w:hanging="425"/>
      <w:jc w:val="center"/>
    </w:pPr>
    <w:rPr>
      <w:rFonts w:ascii="Times New Roman" w:hAnsi="Times New Roman"/>
      <w:sz w:val="28"/>
    </w:rPr>
  </w:style>
  <w:style w:type="paragraph" w:customStyle="1" w:styleId="afffffff2">
    <w:name w:val="封面一致性程度标识"/>
    <w:qFormat/>
    <w:pPr>
      <w:spacing w:before="440" w:line="440" w:lineRule="exact"/>
      <w:ind w:left="425" w:hanging="425"/>
      <w:jc w:val="center"/>
    </w:pPr>
    <w:rPr>
      <w:rFonts w:ascii="Times New Roman" w:hAnsi="Times New Roman"/>
      <w:sz w:val="28"/>
    </w:rPr>
  </w:style>
  <w:style w:type="paragraph" w:customStyle="1" w:styleId="afffffff3">
    <w:name w:val="封面正文"/>
    <w:qFormat/>
    <w:pPr>
      <w:ind w:left="425" w:hanging="425"/>
      <w:jc w:val="both"/>
    </w:pPr>
    <w:rPr>
      <w:rFonts w:ascii="Times New Roman" w:hAnsi="Times New Roman"/>
    </w:rPr>
  </w:style>
  <w:style w:type="paragraph" w:customStyle="1" w:styleId="afffffff4">
    <w:name w:val="附录二级无标题条"/>
    <w:basedOn w:val="afff5"/>
    <w:next w:val="affffe"/>
    <w:qFormat/>
    <w:pPr>
      <w:wordWrap w:val="0"/>
      <w:overflowPunct w:val="0"/>
      <w:autoSpaceDE w:val="0"/>
      <w:autoSpaceDN w:val="0"/>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ind w:left="425" w:hanging="425"/>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hanging="425"/>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ind w:left="425" w:hanging="425"/>
      <w:jc w:val="both"/>
    </w:pPr>
    <w:rPr>
      <w:rFonts w:ascii="宋体" w:hAnsi="Times New Roman"/>
      <w:sz w:val="21"/>
    </w:rPr>
  </w:style>
  <w:style w:type="paragraph" w:customStyle="1" w:styleId="210">
    <w:name w:val="目录 21"/>
    <w:basedOn w:val="afff5"/>
    <w:next w:val="afff5"/>
    <w:semiHidden/>
    <w:qFormat/>
    <w:rPr>
      <w:bCs/>
      <w:iCs/>
    </w:rPr>
  </w:style>
  <w:style w:type="paragraph" w:customStyle="1" w:styleId="31">
    <w:name w:val="目录 31"/>
    <w:basedOn w:val="afff5"/>
    <w:next w:val="afff5"/>
    <w:semiHidden/>
    <w:qFormat/>
    <w:rPr>
      <w:rFonts w:ascii="宋体" w:hAnsi="宋体"/>
      <w:iCs/>
    </w:rPr>
  </w:style>
  <w:style w:type="paragraph" w:customStyle="1" w:styleId="41">
    <w:name w:val="目录 41"/>
    <w:basedOn w:val="afff5"/>
    <w:next w:val="afff5"/>
    <w:semiHidden/>
    <w:qFormat/>
  </w:style>
  <w:style w:type="paragraph" w:customStyle="1" w:styleId="51">
    <w:name w:val="目录 51"/>
    <w:basedOn w:val="afff5"/>
    <w:next w:val="afff5"/>
    <w:semiHidden/>
    <w:qFormat/>
    <w:rPr>
      <w:rFonts w:ascii="宋体" w:hAnsi="宋体"/>
    </w:rPr>
  </w:style>
  <w:style w:type="paragraph" w:customStyle="1" w:styleId="61">
    <w:name w:val="目录 61"/>
    <w:basedOn w:val="afff5"/>
    <w:next w:val="afff5"/>
    <w:semiHidden/>
    <w:qFormat/>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0">
    <w:name w:val="其他标准称谓"/>
    <w:qFormat/>
    <w:pPr>
      <w:spacing w:line="0" w:lineRule="atLeast"/>
      <w:ind w:left="425" w:hanging="425"/>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pPr>
    <w:rPr>
      <w:rFonts w:ascii="宋体" w:hAnsi="宋体"/>
      <w:szCs w:val="24"/>
    </w:rPr>
  </w:style>
  <w:style w:type="paragraph" w:customStyle="1" w:styleId="affffffff3">
    <w:name w:val="文献分类号"/>
    <w:qFormat/>
    <w:pPr>
      <w:framePr w:hSpace="180" w:vSpace="180" w:wrap="around" w:hAnchor="margin" w:y="1" w:anchorLock="1"/>
      <w:widowControl w:val="0"/>
      <w:ind w:left="425" w:hanging="425"/>
      <w:textAlignment w:val="center"/>
    </w:pPr>
    <w:rPr>
      <w:rFonts w:ascii="Times New Roman" w:eastAsia="黑体" w:hAnsi="Times New Roman"/>
      <w:sz w:val="21"/>
    </w:rPr>
  </w:style>
  <w:style w:type="paragraph" w:customStyle="1" w:styleId="affffffff4">
    <w:name w:val="无标题条"/>
    <w:next w:val="affffe"/>
    <w:qFormat/>
    <w:pPr>
      <w:ind w:left="425" w:hanging="425"/>
      <w:jc w:val="both"/>
    </w:pPr>
    <w:rPr>
      <w:rFonts w:ascii="宋体" w:hAnsi="宋体"/>
      <w:sz w:val="21"/>
    </w:rPr>
  </w:style>
  <w:style w:type="paragraph" w:customStyle="1" w:styleId="a4">
    <w:name w:val="五级无标题条"/>
    <w:basedOn w:val="afff5"/>
    <w:qFormat/>
    <w:pPr>
      <w:numPr>
        <w:ilvl w:val="6"/>
        <w:numId w:val="20"/>
      </w:numPr>
    </w:pPr>
    <w:rPr>
      <w:szCs w:val="24"/>
    </w:rPr>
  </w:style>
  <w:style w:type="paragraph" w:customStyle="1" w:styleId="a0">
    <w:name w:val="一级无标题条"/>
    <w:basedOn w:val="afff5"/>
    <w:qFormat/>
    <w:pPr>
      <w:numPr>
        <w:ilvl w:val="2"/>
        <w:numId w:val="20"/>
      </w:numPr>
      <w:spacing w:before="10" w:after="10"/>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pPr>
      <w:ind w:left="425" w:hanging="425"/>
    </w:pPr>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
    <w:name w:val="标准文件_索引字母"/>
    <w:next w:val="affffe"/>
    <w:qFormat/>
    <w:pPr>
      <w:ind w:left="425" w:hanging="425"/>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left="425" w:firstLine="200"/>
    </w:pPr>
    <w:rPr>
      <w:rFonts w:ascii="宋体" w:hAnsi="宋体"/>
      <w:kern w:val="2"/>
      <w:sz w:val="10"/>
    </w:rPr>
  </w:style>
  <w:style w:type="paragraph" w:customStyle="1" w:styleId="afffffffff1">
    <w:name w:val="标准文件_正文标准名称"/>
    <w:qFormat/>
    <w:pPr>
      <w:spacing w:before="560" w:after="640" w:line="400" w:lineRule="exact"/>
      <w:ind w:left="425" w:hanging="425"/>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numPr>
        <w:numId w:val="29"/>
      </w:numPr>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left="425"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ind w:left="425" w:hanging="425"/>
    </w:pPr>
    <w:rPr>
      <w:rFonts w:ascii="宋体"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1.tiff"/><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C3E210992AF643B0B901E2ABCCD60CC5"/>
        <w:category>
          <w:name w:val="常规"/>
          <w:gallery w:val="placeholder"/>
        </w:category>
        <w:types>
          <w:type w:val="bbPlcHdr"/>
        </w:types>
        <w:behaviors>
          <w:behavior w:val="content"/>
        </w:behaviors>
        <w:guid w:val="{A4229A86-FA98-4BD1-A75D-975F4364044F}"/>
      </w:docPartPr>
      <w:docPartBody>
        <w:p w:rsidR="00B42BCA" w:rsidRDefault="000E3214">
          <w:pPr>
            <w:pStyle w:val="C3E210992AF643B0B901E2ABCCD60CC5"/>
          </w:pPr>
          <w:r>
            <w:rPr>
              <w:rStyle w:val="a3"/>
              <w:rFonts w:hint="eastAsia"/>
            </w:rPr>
            <w:t>单击或点击此处输入文字。</w:t>
          </w:r>
        </w:p>
      </w:docPartBody>
    </w:docPart>
    <w:docPart>
      <w:docPartPr>
        <w:name w:val="A4D3A8EAFF0D45A9ABAF3001D5674E5E"/>
        <w:category>
          <w:name w:val="常规"/>
          <w:gallery w:val="placeholder"/>
        </w:category>
        <w:types>
          <w:type w:val="bbPlcHdr"/>
        </w:types>
        <w:behaviors>
          <w:behavior w:val="content"/>
        </w:behaviors>
        <w:guid w:val="{646663E9-22EA-4221-B5CF-363B51DA9642}"/>
      </w:docPartPr>
      <w:docPartBody>
        <w:p w:rsidR="00B42BCA" w:rsidRDefault="000E3214">
          <w:pPr>
            <w:pStyle w:val="A4D3A8EAFF0D45A9ABAF3001D5674E5E"/>
          </w:pPr>
          <w:r>
            <w:rPr>
              <w:rStyle w:val="a3"/>
              <w:rFonts w:hint="eastAsia"/>
            </w:rPr>
            <w:t>选择一项。</w:t>
          </w:r>
        </w:p>
      </w:docPartBody>
    </w:docPart>
    <w:docPart>
      <w:docPartPr>
        <w:name w:val="5269EE4FDDBB4FC0A7BF73B180FCBD68"/>
        <w:category>
          <w:name w:val="常规"/>
          <w:gallery w:val="placeholder"/>
        </w:category>
        <w:types>
          <w:type w:val="bbPlcHdr"/>
        </w:types>
        <w:behaviors>
          <w:behavior w:val="content"/>
        </w:behaviors>
        <w:guid w:val="{5F23CDEF-C8BF-4F26-9927-32DC47DD7B5A}"/>
      </w:docPartPr>
      <w:docPartBody>
        <w:p w:rsidR="00B42BCA" w:rsidRDefault="000E3214">
          <w:pPr>
            <w:pStyle w:val="5269EE4FDDBB4FC0A7BF73B180FCBD68"/>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4063"/>
    <w:rsid w:val="000626CD"/>
    <w:rsid w:val="000E3214"/>
    <w:rsid w:val="0022107D"/>
    <w:rsid w:val="00350D9F"/>
    <w:rsid w:val="003B2F37"/>
    <w:rsid w:val="0044593E"/>
    <w:rsid w:val="004F7AEF"/>
    <w:rsid w:val="00583D32"/>
    <w:rsid w:val="005D2B08"/>
    <w:rsid w:val="006F7758"/>
    <w:rsid w:val="00744063"/>
    <w:rsid w:val="009C4DE3"/>
    <w:rsid w:val="00B42BCA"/>
    <w:rsid w:val="00D85555"/>
    <w:rsid w:val="00E82C32"/>
    <w:rsid w:val="00EC6D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C3E210992AF643B0B901E2ABCCD60CC5">
    <w:name w:val="C3E210992AF643B0B901E2ABCCD60CC5"/>
    <w:pPr>
      <w:widowControl w:val="0"/>
      <w:jc w:val="both"/>
    </w:pPr>
    <w:rPr>
      <w:kern w:val="2"/>
      <w:sz w:val="21"/>
      <w:szCs w:val="22"/>
      <w14:ligatures w14:val="standardContextual"/>
    </w:rPr>
  </w:style>
  <w:style w:type="paragraph" w:customStyle="1" w:styleId="A4D3A8EAFF0D45A9ABAF3001D5674E5E">
    <w:name w:val="A4D3A8EAFF0D45A9ABAF3001D5674E5E"/>
    <w:qFormat/>
    <w:pPr>
      <w:widowControl w:val="0"/>
      <w:jc w:val="both"/>
    </w:pPr>
    <w:rPr>
      <w:kern w:val="2"/>
      <w:sz w:val="21"/>
      <w:szCs w:val="22"/>
      <w14:ligatures w14:val="standardContextual"/>
    </w:rPr>
  </w:style>
  <w:style w:type="paragraph" w:customStyle="1" w:styleId="5269EE4FDDBB4FC0A7BF73B180FCBD68">
    <w:name w:val="5269EE4FDDBB4FC0A7BF73B180FCBD68"/>
    <w:qFormat/>
    <w:pPr>
      <w:widowControl w:val="0"/>
      <w:jc w:val="both"/>
    </w:pPr>
    <w:rPr>
      <w:kern w:val="2"/>
      <w:sz w:val="21"/>
      <w:szCs w:val="22"/>
      <w14:ligatures w14:val="standardContextual"/>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C3E210992AF643B0B901E2ABCCD60CC5">
    <w:name w:val="C3E210992AF643B0B901E2ABCCD60CC5"/>
    <w:pPr>
      <w:widowControl w:val="0"/>
      <w:jc w:val="both"/>
    </w:pPr>
    <w:rPr>
      <w:kern w:val="2"/>
      <w:sz w:val="21"/>
      <w:szCs w:val="22"/>
      <w14:ligatures w14:val="standardContextual"/>
    </w:rPr>
  </w:style>
  <w:style w:type="paragraph" w:customStyle="1" w:styleId="A4D3A8EAFF0D45A9ABAF3001D5674E5E">
    <w:name w:val="A4D3A8EAFF0D45A9ABAF3001D5674E5E"/>
    <w:qFormat/>
    <w:pPr>
      <w:widowControl w:val="0"/>
      <w:jc w:val="both"/>
    </w:pPr>
    <w:rPr>
      <w:kern w:val="2"/>
      <w:sz w:val="21"/>
      <w:szCs w:val="22"/>
      <w14:ligatures w14:val="standardContextual"/>
    </w:rPr>
  </w:style>
  <w:style w:type="paragraph" w:customStyle="1" w:styleId="5269EE4FDDBB4FC0A7BF73B180FCBD68">
    <w:name w:val="5269EE4FDDBB4FC0A7BF73B180FCBD68"/>
    <w:qFormat/>
    <w:pPr>
      <w:widowControl w:val="0"/>
      <w:jc w:val="both"/>
    </w:pPr>
    <w:rPr>
      <w:kern w:val="2"/>
      <w:sz w:val="21"/>
      <w:szCs w:val="2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1E10DE-5118-4BC1-A800-E5D9428AE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12</TotalTime>
  <Pages>11</Pages>
  <Words>1128</Words>
  <Characters>6435</Characters>
  <Application>Microsoft Office Word</Application>
  <DocSecurity>0</DocSecurity>
  <Lines>53</Lines>
  <Paragraphs>15</Paragraphs>
  <ScaleCrop>false</ScaleCrop>
  <Company>PCMI</Company>
  <LinksUpToDate>false</LinksUpToDate>
  <CharactersWithSpaces>7548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Administrator</dc:creator>
  <dc:description>&lt;config cover="true" show_menu="true" version="1.0.0" doctype="SDKXY"&gt;_x000d_
&lt;/config&gt;</dc:description>
  <cp:lastModifiedBy>梁彪</cp:lastModifiedBy>
  <cp:revision>27</cp:revision>
  <cp:lastPrinted>2023-11-10T04:41:00Z</cp:lastPrinted>
  <dcterms:created xsi:type="dcterms:W3CDTF">2023-10-11T13:32:00Z</dcterms:created>
  <dcterms:modified xsi:type="dcterms:W3CDTF">2023-11-10T04:43:00Z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2052-12.1.0.15712</vt:lpwstr>
  </property>
  <property fmtid="{D5CDD505-2E9C-101B-9397-08002B2CF9AE}" pid="15" name="ICV">
    <vt:lpwstr>BF91B6D49C064BFC943AD9F7CE2EF37A_12</vt:lpwstr>
  </property>
</Properties>
</file>